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3B6E" w:rsidRPr="00E50CE1" w:rsidRDefault="00433B6E" w:rsidP="00433B6E">
      <w:pPr>
        <w:spacing w:after="200" w:line="360" w:lineRule="auto"/>
        <w:jc w:val="center"/>
        <w:rPr>
          <w:rFonts w:ascii="Times New Roman" w:eastAsia="Times New Roman" w:hAnsi="Times New Roman" w:cs="Times New Roman"/>
          <w:b/>
          <w:bCs/>
          <w:sz w:val="24"/>
          <w:szCs w:val="24"/>
          <w:lang w:val="en-GB" w:eastAsia="en-GB"/>
        </w:rPr>
      </w:pPr>
      <w:bookmarkStart w:id="0" w:name="_GoBack"/>
      <w:r w:rsidRPr="00E50CE1">
        <w:rPr>
          <w:rFonts w:ascii="Times New Roman" w:eastAsia="Times New Roman" w:hAnsi="Times New Roman" w:cs="Times New Roman"/>
          <w:b/>
          <w:bCs/>
          <w:sz w:val="24"/>
          <w:szCs w:val="24"/>
          <w:lang w:val="en-GB" w:eastAsia="en-GB"/>
        </w:rPr>
        <w:t>ENDOSCOPIC ASSISTED, TRANSFONTANELLE EXCISION OF A LARGE THIRD VENTRICULAR ATYPICAL CHOROID PLEXUS PAPILLOMA IN AN INFANT</w:t>
      </w:r>
    </w:p>
    <w:bookmarkEnd w:id="0"/>
    <w:p w:rsidR="00433B6E" w:rsidRPr="00E50CE1" w:rsidRDefault="00433B6E" w:rsidP="00433B6E">
      <w:pPr>
        <w:pBdr>
          <w:top w:val="nil"/>
          <w:left w:val="nil"/>
          <w:bottom w:val="nil"/>
          <w:right w:val="nil"/>
          <w:between w:val="nil"/>
          <w:bar w:val="nil"/>
        </w:pBdr>
        <w:spacing w:line="480" w:lineRule="auto"/>
        <w:jc w:val="center"/>
        <w:rPr>
          <w:rFonts w:ascii="Times New Roman" w:eastAsia="Times New Roman" w:hAnsi="Times New Roman" w:cs="Times New Roman"/>
          <w:b/>
          <w:sz w:val="24"/>
          <w:szCs w:val="24"/>
          <w:u w:color="000000"/>
          <w:bdr w:val="nil"/>
          <w:lang w:eastAsia="en-GB"/>
        </w:rPr>
      </w:pPr>
      <w:proofErr w:type="spellStart"/>
      <w:r w:rsidRPr="00E50CE1">
        <w:rPr>
          <w:rFonts w:ascii="Times New Roman" w:eastAsia="Calibri" w:hAnsi="Times New Roman" w:cs="Calibri"/>
          <w:b/>
          <w:sz w:val="24"/>
          <w:szCs w:val="24"/>
          <w:u w:color="000000"/>
          <w:bdr w:val="nil"/>
          <w:lang w:eastAsia="en-GB"/>
        </w:rPr>
        <w:t>Malomo</w:t>
      </w:r>
      <w:proofErr w:type="spellEnd"/>
      <w:r w:rsidRPr="00E50CE1">
        <w:rPr>
          <w:rFonts w:ascii="Times New Roman" w:eastAsia="Calibri" w:hAnsi="Times New Roman" w:cs="Calibri"/>
          <w:b/>
          <w:sz w:val="24"/>
          <w:szCs w:val="24"/>
          <w:u w:color="000000"/>
          <w:bdr w:val="nil"/>
          <w:lang w:eastAsia="en-GB"/>
        </w:rPr>
        <w:t xml:space="preserve"> TA</w:t>
      </w:r>
      <w:r w:rsidRPr="00E50CE1">
        <w:rPr>
          <w:rFonts w:ascii="Times New Roman" w:eastAsia="Calibri" w:hAnsi="Times New Roman" w:cs="Calibri"/>
          <w:b/>
          <w:sz w:val="24"/>
          <w:szCs w:val="24"/>
          <w:u w:color="000000"/>
          <w:bdr w:val="nil"/>
          <w:vertAlign w:val="superscript"/>
          <w:lang w:eastAsia="en-GB"/>
        </w:rPr>
        <w:t>3</w:t>
      </w:r>
      <w:r w:rsidRPr="00E50CE1">
        <w:rPr>
          <w:rFonts w:ascii="Times New Roman" w:eastAsia="Calibri" w:hAnsi="Times New Roman" w:cs="Calibri"/>
          <w:b/>
          <w:sz w:val="24"/>
          <w:szCs w:val="24"/>
          <w:u w:color="000000"/>
          <w:bdr w:val="nil"/>
          <w:lang w:eastAsia="en-GB"/>
        </w:rPr>
        <w:t xml:space="preserve">, </w:t>
      </w:r>
      <w:proofErr w:type="spellStart"/>
      <w:r w:rsidRPr="00E50CE1">
        <w:rPr>
          <w:rFonts w:ascii="Times New Roman" w:eastAsia="Calibri" w:hAnsi="Times New Roman" w:cs="Calibri"/>
          <w:b/>
          <w:sz w:val="24"/>
          <w:szCs w:val="24"/>
          <w:u w:color="000000"/>
          <w:bdr w:val="nil"/>
          <w:lang w:eastAsia="en-GB"/>
        </w:rPr>
        <w:t>Okolo</w:t>
      </w:r>
      <w:proofErr w:type="spellEnd"/>
      <w:r w:rsidRPr="00E50CE1">
        <w:rPr>
          <w:rFonts w:ascii="Times New Roman" w:eastAsia="Calibri" w:hAnsi="Times New Roman" w:cs="Calibri"/>
          <w:b/>
          <w:sz w:val="24"/>
          <w:szCs w:val="24"/>
          <w:u w:color="000000"/>
          <w:bdr w:val="nil"/>
          <w:lang w:eastAsia="en-GB"/>
        </w:rPr>
        <w:t xml:space="preserve"> CA</w:t>
      </w:r>
      <w:r w:rsidRPr="00E50CE1">
        <w:rPr>
          <w:rFonts w:ascii="Times New Roman" w:eastAsia="Calibri" w:hAnsi="Times New Roman" w:cs="Calibri"/>
          <w:b/>
          <w:sz w:val="24"/>
          <w:szCs w:val="24"/>
          <w:u w:color="000000"/>
          <w:bdr w:val="nil"/>
          <w:vertAlign w:val="superscript"/>
          <w:lang w:eastAsia="en-GB"/>
        </w:rPr>
        <w:t>2</w:t>
      </w:r>
      <w:r w:rsidRPr="00E50CE1">
        <w:rPr>
          <w:rFonts w:ascii="Times New Roman" w:eastAsia="Calibri" w:hAnsi="Times New Roman" w:cs="Calibri"/>
          <w:b/>
          <w:sz w:val="24"/>
          <w:szCs w:val="24"/>
          <w:u w:color="000000"/>
          <w:bdr w:val="nil"/>
          <w:lang w:eastAsia="en-GB"/>
        </w:rPr>
        <w:t xml:space="preserve">, </w:t>
      </w:r>
      <w:proofErr w:type="spellStart"/>
      <w:r w:rsidRPr="00E50CE1">
        <w:rPr>
          <w:rFonts w:ascii="Times New Roman" w:eastAsia="Calibri" w:hAnsi="Times New Roman" w:cs="Calibri"/>
          <w:b/>
          <w:sz w:val="24"/>
          <w:szCs w:val="24"/>
          <w:u w:color="000000"/>
          <w:bdr w:val="nil"/>
          <w:lang w:eastAsia="en-GB"/>
        </w:rPr>
        <w:t>Balogun</w:t>
      </w:r>
      <w:proofErr w:type="spellEnd"/>
      <w:r w:rsidRPr="00E50CE1">
        <w:rPr>
          <w:rFonts w:ascii="Times New Roman" w:eastAsia="Calibri" w:hAnsi="Times New Roman" w:cs="Calibri"/>
          <w:b/>
          <w:sz w:val="24"/>
          <w:szCs w:val="24"/>
          <w:u w:color="000000"/>
          <w:bdr w:val="nil"/>
          <w:lang w:eastAsia="en-GB"/>
        </w:rPr>
        <w:t xml:space="preserve"> JA</w:t>
      </w:r>
      <w:r w:rsidRPr="00E50CE1">
        <w:rPr>
          <w:rFonts w:ascii="Times New Roman" w:eastAsia="Calibri" w:hAnsi="Times New Roman" w:cs="Calibri"/>
          <w:b/>
          <w:sz w:val="24"/>
          <w:szCs w:val="24"/>
          <w:u w:color="000000"/>
          <w:bdr w:val="nil"/>
          <w:vertAlign w:val="superscript"/>
          <w:lang w:eastAsia="en-GB"/>
        </w:rPr>
        <w:t>1</w:t>
      </w:r>
      <w:proofErr w:type="gramStart"/>
      <w:r w:rsidRPr="00E50CE1">
        <w:rPr>
          <w:rFonts w:ascii="Times New Roman" w:eastAsia="Calibri" w:hAnsi="Times New Roman" w:cs="Calibri"/>
          <w:b/>
          <w:sz w:val="24"/>
          <w:szCs w:val="24"/>
          <w:u w:color="000000"/>
          <w:bdr w:val="nil"/>
          <w:vertAlign w:val="superscript"/>
          <w:lang w:eastAsia="en-GB"/>
        </w:rPr>
        <w:t>,3</w:t>
      </w:r>
      <w:proofErr w:type="gramEnd"/>
      <w:r w:rsidRPr="00E50CE1">
        <w:rPr>
          <w:rFonts w:ascii="Times New Roman" w:eastAsia="Calibri" w:hAnsi="Times New Roman" w:cs="Calibri"/>
          <w:b/>
          <w:sz w:val="24"/>
          <w:szCs w:val="24"/>
          <w:u w:color="000000"/>
          <w:bdr w:val="nil"/>
          <w:lang w:eastAsia="en-GB"/>
        </w:rPr>
        <w:t>*</w:t>
      </w:r>
    </w:p>
    <w:p w:rsidR="00433B6E" w:rsidRPr="00E50CE1" w:rsidRDefault="00433B6E" w:rsidP="00433B6E">
      <w:pPr>
        <w:pBdr>
          <w:top w:val="nil"/>
          <w:left w:val="nil"/>
          <w:bottom w:val="nil"/>
          <w:right w:val="nil"/>
          <w:between w:val="nil"/>
          <w:bar w:val="nil"/>
        </w:pBdr>
        <w:spacing w:line="480" w:lineRule="auto"/>
        <w:ind w:left="720"/>
        <w:jc w:val="both"/>
        <w:rPr>
          <w:rFonts w:ascii="Times New Roman" w:eastAsia="Calibri" w:hAnsi="Times New Roman" w:cs="Calibri"/>
          <w:sz w:val="24"/>
          <w:szCs w:val="24"/>
          <w:u w:color="000000"/>
          <w:bdr w:val="nil"/>
          <w:lang w:eastAsia="en-GB"/>
        </w:rPr>
      </w:pPr>
      <w:r w:rsidRPr="00E50CE1">
        <w:rPr>
          <w:rFonts w:ascii="Times New Roman" w:eastAsia="Calibri" w:hAnsi="Times New Roman" w:cs="Calibri"/>
          <w:sz w:val="24"/>
          <w:szCs w:val="24"/>
          <w:u w:color="000000"/>
          <w:bdr w:val="nil"/>
          <w:vertAlign w:val="superscript"/>
          <w:lang w:eastAsia="en-GB"/>
        </w:rPr>
        <w:t>1</w:t>
      </w:r>
      <w:r w:rsidRPr="00E50CE1">
        <w:rPr>
          <w:rFonts w:ascii="Times New Roman" w:eastAsia="Calibri" w:hAnsi="Times New Roman" w:cs="Calibri"/>
          <w:sz w:val="24"/>
          <w:szCs w:val="24"/>
          <w:u w:color="000000"/>
          <w:bdr w:val="nil"/>
          <w:lang w:eastAsia="en-GB"/>
        </w:rPr>
        <w:t>Division of Neurosurgery, Department of Surgery, College of Medicine, University of Ibadan/Department of Neurological Surgery, University College Hospital, Ibadan, Nigeria .</w:t>
      </w:r>
    </w:p>
    <w:p w:rsidR="00433B6E" w:rsidRPr="00E50CE1" w:rsidRDefault="00433B6E" w:rsidP="00433B6E">
      <w:pPr>
        <w:pBdr>
          <w:top w:val="nil"/>
          <w:left w:val="nil"/>
          <w:bottom w:val="nil"/>
          <w:right w:val="nil"/>
          <w:between w:val="nil"/>
          <w:bar w:val="nil"/>
        </w:pBdr>
        <w:spacing w:line="480" w:lineRule="auto"/>
        <w:ind w:left="720"/>
        <w:jc w:val="both"/>
        <w:rPr>
          <w:rFonts w:ascii="Times New Roman" w:eastAsia="Calibri" w:hAnsi="Times New Roman" w:cs="Calibri"/>
          <w:sz w:val="24"/>
          <w:szCs w:val="24"/>
          <w:u w:color="000000"/>
          <w:bdr w:val="nil"/>
          <w:lang w:eastAsia="en-GB"/>
        </w:rPr>
      </w:pPr>
      <w:r w:rsidRPr="00E50CE1">
        <w:rPr>
          <w:rFonts w:ascii="Times New Roman" w:eastAsia="Calibri" w:hAnsi="Times New Roman" w:cs="Calibri"/>
          <w:sz w:val="24"/>
          <w:szCs w:val="24"/>
          <w:u w:color="000000"/>
          <w:bdr w:val="nil"/>
          <w:vertAlign w:val="superscript"/>
          <w:lang w:eastAsia="en-GB"/>
        </w:rPr>
        <w:t>2</w:t>
      </w:r>
      <w:r w:rsidRPr="00E50CE1">
        <w:rPr>
          <w:rFonts w:ascii="Times New Roman" w:eastAsia="Calibri" w:hAnsi="Times New Roman" w:cs="Calibri"/>
          <w:sz w:val="24"/>
          <w:szCs w:val="24"/>
          <w:u w:color="000000"/>
          <w:bdr w:val="nil"/>
          <w:lang w:eastAsia="en-GB"/>
        </w:rPr>
        <w:t xml:space="preserve">Department of Pathology, College of Medicine, University of Ibadan/Department of Pathology, University College Hospital, Ibadan, Nigeria. </w:t>
      </w:r>
    </w:p>
    <w:p w:rsidR="00433B6E" w:rsidRPr="00E50CE1" w:rsidRDefault="00433B6E" w:rsidP="00433B6E">
      <w:pPr>
        <w:pBdr>
          <w:top w:val="nil"/>
          <w:left w:val="nil"/>
          <w:bottom w:val="nil"/>
          <w:right w:val="nil"/>
          <w:between w:val="nil"/>
          <w:bar w:val="nil"/>
        </w:pBdr>
        <w:spacing w:line="480" w:lineRule="auto"/>
        <w:ind w:left="720"/>
        <w:jc w:val="both"/>
        <w:rPr>
          <w:rFonts w:ascii="Times New Roman" w:eastAsia="Calibri" w:hAnsi="Times New Roman" w:cs="Calibri"/>
          <w:sz w:val="24"/>
          <w:szCs w:val="24"/>
          <w:u w:color="000000"/>
          <w:bdr w:val="nil"/>
          <w:lang w:eastAsia="en-GB"/>
        </w:rPr>
      </w:pPr>
      <w:r w:rsidRPr="00E50CE1">
        <w:rPr>
          <w:rFonts w:ascii="Times New Roman" w:eastAsia="Calibri" w:hAnsi="Times New Roman" w:cs="Calibri"/>
          <w:sz w:val="24"/>
          <w:szCs w:val="24"/>
          <w:u w:color="000000"/>
          <w:bdr w:val="nil"/>
          <w:vertAlign w:val="superscript"/>
          <w:lang w:eastAsia="en-GB"/>
        </w:rPr>
        <w:t>3</w:t>
      </w:r>
      <w:r w:rsidRPr="00E50CE1">
        <w:rPr>
          <w:rFonts w:ascii="Times New Roman" w:eastAsia="Calibri" w:hAnsi="Times New Roman" w:cs="Calibri"/>
          <w:sz w:val="24"/>
          <w:szCs w:val="24"/>
          <w:u w:color="000000"/>
          <w:bdr w:val="nil"/>
          <w:lang w:eastAsia="en-GB"/>
        </w:rPr>
        <w:t xml:space="preserve">Department of Neurological Surgery, University College Hospital, Ibadan, Nigeria. </w:t>
      </w:r>
    </w:p>
    <w:p w:rsidR="00433B6E" w:rsidRPr="00E50CE1" w:rsidRDefault="00433B6E" w:rsidP="00433B6E">
      <w:pPr>
        <w:pBdr>
          <w:top w:val="nil"/>
          <w:left w:val="nil"/>
          <w:bottom w:val="nil"/>
          <w:right w:val="nil"/>
          <w:between w:val="nil"/>
          <w:bar w:val="nil"/>
        </w:pBdr>
        <w:spacing w:line="480" w:lineRule="auto"/>
        <w:jc w:val="both"/>
        <w:rPr>
          <w:rFonts w:ascii="Times New Roman" w:eastAsia="Times New Roman" w:hAnsi="Times New Roman" w:cs="Times New Roman"/>
          <w:sz w:val="24"/>
          <w:szCs w:val="24"/>
          <w:u w:color="000000"/>
          <w:bdr w:val="nil"/>
          <w:lang w:eastAsia="en-GB"/>
        </w:rPr>
      </w:pPr>
      <w:r w:rsidRPr="00E50CE1">
        <w:rPr>
          <w:rFonts w:ascii="Times New Roman" w:eastAsia="Calibri" w:hAnsi="Times New Roman" w:cs="Calibri"/>
          <w:sz w:val="24"/>
          <w:szCs w:val="24"/>
          <w:u w:color="000000"/>
          <w:bdr w:val="nil"/>
          <w:lang w:eastAsia="en-GB"/>
        </w:rPr>
        <w:t>*</w:t>
      </w:r>
      <w:r>
        <w:rPr>
          <w:rFonts w:ascii="Times New Roman" w:eastAsia="Calibri" w:hAnsi="Times New Roman" w:cs="Calibri"/>
          <w:b/>
          <w:sz w:val="24"/>
          <w:szCs w:val="24"/>
          <w:u w:color="000000"/>
          <w:bdr w:val="nil"/>
          <w:lang w:eastAsia="en-GB"/>
        </w:rPr>
        <w:t>Corresponding Author</w:t>
      </w:r>
      <w:r w:rsidRPr="00B21A74">
        <w:rPr>
          <w:rFonts w:ascii="Times New Roman" w:eastAsia="Calibri" w:hAnsi="Times New Roman" w:cs="Calibri"/>
          <w:b/>
          <w:sz w:val="24"/>
          <w:szCs w:val="24"/>
          <w:u w:color="000000"/>
          <w:bdr w:val="nil"/>
          <w:lang w:eastAsia="en-GB"/>
        </w:rPr>
        <w:t>:</w:t>
      </w:r>
      <w:r w:rsidRPr="00B21A74">
        <w:rPr>
          <w:rFonts w:ascii="Times New Roman" w:eastAsia="Calibri" w:hAnsi="Times New Roman" w:cs="Calibri"/>
          <w:sz w:val="24"/>
          <w:szCs w:val="24"/>
          <w:u w:color="000000"/>
          <w:bdr w:val="nil"/>
          <w:lang w:eastAsia="en-GB"/>
        </w:rPr>
        <w:t xml:space="preserve"> </w:t>
      </w:r>
      <w:r w:rsidRPr="00B21A74">
        <w:rPr>
          <w:rFonts w:ascii="Times New Roman" w:eastAsia="Times New Roman" w:hAnsi="Times New Roman" w:cs="Times New Roman"/>
          <w:sz w:val="24"/>
          <w:szCs w:val="24"/>
          <w:u w:color="000000"/>
          <w:bdr w:val="nil"/>
          <w:lang w:eastAsia="en-GB"/>
        </w:rPr>
        <w:t xml:space="preserve">Dr. </w:t>
      </w:r>
      <w:r w:rsidRPr="00B21A74">
        <w:rPr>
          <w:rFonts w:ascii="Times New Roman" w:eastAsia="Calibri" w:hAnsi="Times New Roman" w:cs="Calibri"/>
          <w:bCs/>
          <w:sz w:val="24"/>
          <w:szCs w:val="24"/>
          <w:u w:color="000000"/>
          <w:bdr w:val="nil"/>
          <w:lang w:eastAsia="en-GB"/>
        </w:rPr>
        <w:t xml:space="preserve">James A. </w:t>
      </w:r>
      <w:proofErr w:type="spellStart"/>
      <w:r w:rsidRPr="00B21A74">
        <w:rPr>
          <w:rFonts w:ascii="Times New Roman" w:eastAsia="Calibri" w:hAnsi="Times New Roman" w:cs="Calibri"/>
          <w:bCs/>
          <w:sz w:val="24"/>
          <w:szCs w:val="24"/>
          <w:u w:color="000000"/>
          <w:bdr w:val="nil"/>
          <w:lang w:eastAsia="en-GB"/>
        </w:rPr>
        <w:t>Balogun</w:t>
      </w:r>
      <w:proofErr w:type="spellEnd"/>
      <w:r w:rsidRPr="00E50CE1">
        <w:rPr>
          <w:rFonts w:ascii="Times New Roman" w:eastAsia="Times New Roman" w:hAnsi="Times New Roman" w:cs="Times New Roman"/>
          <w:sz w:val="24"/>
          <w:szCs w:val="24"/>
          <w:u w:color="000000"/>
          <w:bdr w:val="nil"/>
          <w:lang w:eastAsia="en-GB"/>
        </w:rPr>
        <w:t xml:space="preserve">                </w:t>
      </w:r>
      <w:r w:rsidRPr="00B21A74">
        <w:rPr>
          <w:rFonts w:ascii="Times New Roman" w:eastAsia="Times New Roman" w:hAnsi="Times New Roman" w:cs="Times New Roman"/>
          <w:b/>
          <w:sz w:val="24"/>
          <w:szCs w:val="24"/>
          <w:u w:color="000000"/>
          <w:bdr w:val="nil"/>
          <w:lang w:eastAsia="en-GB"/>
        </w:rPr>
        <w:t xml:space="preserve">Email: </w:t>
      </w:r>
      <w:hyperlink r:id="rId5" w:history="1">
        <w:r w:rsidRPr="00B21A74">
          <w:rPr>
            <w:rFonts w:ascii="Times New Roman" w:eastAsia="Calibri" w:hAnsi="Times New Roman" w:cs="Times New Roman"/>
            <w:b/>
            <w:sz w:val="24"/>
            <w:szCs w:val="24"/>
            <w:u w:val="single" w:color="0563C1"/>
            <w:bdr w:val="nil"/>
            <w:lang w:eastAsia="en-GB"/>
          </w:rPr>
          <w:t>Jamesabalogun@gmail.com</w:t>
        </w:r>
      </w:hyperlink>
      <w:r>
        <w:rPr>
          <w:rFonts w:ascii="Times New Roman" w:eastAsia="Calibri" w:hAnsi="Times New Roman" w:cs="Times New Roman"/>
          <w:sz w:val="24"/>
          <w:szCs w:val="24"/>
          <w:u w:val="single" w:color="0563C1"/>
          <w:bdr w:val="nil"/>
          <w:lang w:eastAsia="en-GB"/>
        </w:rPr>
        <w:t xml:space="preserve"> </w:t>
      </w:r>
    </w:p>
    <w:p w:rsidR="00433B6E" w:rsidRPr="00E50CE1" w:rsidRDefault="00433B6E" w:rsidP="00433B6E">
      <w:pPr>
        <w:spacing w:after="0" w:line="240" w:lineRule="auto"/>
        <w:rPr>
          <w:rFonts w:ascii="Times New Roman" w:eastAsia="Times New Roman" w:hAnsi="Times New Roman" w:cs="Times New Roman"/>
          <w:sz w:val="24"/>
          <w:szCs w:val="24"/>
          <w:lang w:val="en-GB" w:eastAsia="en-GB"/>
        </w:rPr>
      </w:pPr>
      <w:r w:rsidRPr="00E50CE1">
        <w:rPr>
          <w:rFonts w:ascii="Times New Roman" w:eastAsia="Times New Roman" w:hAnsi="Times New Roman" w:cs="Times New Roman"/>
          <w:b/>
          <w:sz w:val="24"/>
          <w:szCs w:val="24"/>
          <w:lang w:val="en-GB" w:eastAsia="en-GB"/>
        </w:rPr>
        <w:t>Conflict of Interest:</w:t>
      </w:r>
      <w:r w:rsidRPr="00E50CE1">
        <w:rPr>
          <w:rFonts w:ascii="Times New Roman" w:eastAsia="Times New Roman" w:hAnsi="Times New Roman" w:cs="Times New Roman"/>
          <w:sz w:val="24"/>
          <w:szCs w:val="24"/>
          <w:lang w:val="en-GB" w:eastAsia="en-GB"/>
        </w:rPr>
        <w:t xml:space="preserve"> None</w:t>
      </w:r>
    </w:p>
    <w:p w:rsidR="00433B6E" w:rsidRPr="00E50CE1" w:rsidRDefault="00433B6E" w:rsidP="00433B6E">
      <w:pPr>
        <w:spacing w:after="0" w:line="240" w:lineRule="auto"/>
        <w:rPr>
          <w:rFonts w:ascii="Times New Roman" w:eastAsia="Times New Roman" w:hAnsi="Times New Roman" w:cs="Times New Roman"/>
          <w:sz w:val="24"/>
          <w:szCs w:val="24"/>
          <w:lang w:val="en-GB" w:eastAsia="en-GB"/>
        </w:rPr>
      </w:pPr>
    </w:p>
    <w:p w:rsidR="00433B6E" w:rsidRPr="00E50CE1" w:rsidRDefault="00433B6E" w:rsidP="00433B6E">
      <w:pPr>
        <w:spacing w:after="0" w:line="240" w:lineRule="auto"/>
        <w:rPr>
          <w:rFonts w:ascii="Times New Roman" w:eastAsia="Times New Roman" w:hAnsi="Times New Roman" w:cs="Times New Roman"/>
          <w:sz w:val="24"/>
          <w:szCs w:val="24"/>
          <w:lang w:val="en-GB" w:eastAsia="en-GB"/>
        </w:rPr>
      </w:pPr>
      <w:r w:rsidRPr="00E50CE1">
        <w:rPr>
          <w:rFonts w:ascii="Times New Roman" w:eastAsia="Times New Roman" w:hAnsi="Times New Roman" w:cs="Times New Roman"/>
          <w:b/>
          <w:sz w:val="24"/>
          <w:szCs w:val="24"/>
          <w:lang w:val="en-GB" w:eastAsia="en-GB"/>
        </w:rPr>
        <w:t>Grant Support:</w:t>
      </w:r>
      <w:r w:rsidRPr="00E50CE1">
        <w:rPr>
          <w:rFonts w:ascii="Times New Roman" w:eastAsia="Times New Roman" w:hAnsi="Times New Roman" w:cs="Times New Roman"/>
          <w:sz w:val="24"/>
          <w:szCs w:val="24"/>
          <w:lang w:val="en-GB" w:eastAsia="en-GB"/>
        </w:rPr>
        <w:t xml:space="preserve"> None</w:t>
      </w:r>
    </w:p>
    <w:p w:rsidR="00433B6E" w:rsidRPr="00E50CE1" w:rsidRDefault="00433B6E" w:rsidP="00433B6E">
      <w:pPr>
        <w:spacing w:line="480" w:lineRule="auto"/>
        <w:jc w:val="both"/>
        <w:rPr>
          <w:rFonts w:ascii="Calibri" w:eastAsia="Times New Roman" w:hAnsi="Calibri" w:cs="Times New Roman"/>
          <w:u w:color="000000"/>
          <w:lang w:val="en-GB" w:eastAsia="en-GB"/>
        </w:rPr>
      </w:pPr>
    </w:p>
    <w:p w:rsidR="00433B6E" w:rsidRPr="00E50CE1" w:rsidRDefault="00433B6E" w:rsidP="00433B6E">
      <w:pPr>
        <w:spacing w:after="200" w:line="240" w:lineRule="auto"/>
        <w:jc w:val="both"/>
        <w:rPr>
          <w:rFonts w:ascii="Times New Roman" w:eastAsia="Times New Roman" w:hAnsi="Times New Roman" w:cs="Times New Roman"/>
          <w:sz w:val="24"/>
          <w:szCs w:val="24"/>
          <w:lang w:val="en-GB" w:eastAsia="en-GB"/>
        </w:rPr>
      </w:pPr>
    </w:p>
    <w:p w:rsidR="00433B6E" w:rsidRPr="00E50CE1" w:rsidRDefault="00433B6E" w:rsidP="00433B6E">
      <w:pPr>
        <w:spacing w:after="200" w:line="240" w:lineRule="auto"/>
        <w:jc w:val="both"/>
        <w:rPr>
          <w:rFonts w:ascii="Times New Roman" w:eastAsia="Times New Roman" w:hAnsi="Times New Roman" w:cs="Times New Roman"/>
          <w:sz w:val="24"/>
          <w:szCs w:val="24"/>
          <w:lang w:val="en-GB" w:eastAsia="en-GB"/>
        </w:rPr>
      </w:pPr>
    </w:p>
    <w:p w:rsidR="00433B6E" w:rsidRPr="00E50CE1" w:rsidRDefault="00433B6E" w:rsidP="00433B6E">
      <w:pPr>
        <w:spacing w:after="200" w:line="240" w:lineRule="auto"/>
        <w:jc w:val="both"/>
        <w:rPr>
          <w:rFonts w:ascii="Times New Roman" w:eastAsia="Times New Roman" w:hAnsi="Times New Roman" w:cs="Times New Roman"/>
          <w:sz w:val="24"/>
          <w:szCs w:val="24"/>
          <w:lang w:val="en-GB" w:eastAsia="en-GB"/>
        </w:rPr>
      </w:pPr>
    </w:p>
    <w:p w:rsidR="00433B6E" w:rsidRPr="00E50CE1" w:rsidRDefault="00433B6E" w:rsidP="00433B6E">
      <w:pPr>
        <w:spacing w:after="200" w:line="240" w:lineRule="auto"/>
        <w:jc w:val="both"/>
        <w:rPr>
          <w:rFonts w:ascii="Times New Roman" w:eastAsia="Times New Roman" w:hAnsi="Times New Roman" w:cs="Times New Roman"/>
          <w:sz w:val="24"/>
          <w:szCs w:val="24"/>
          <w:lang w:val="en-GB" w:eastAsia="en-GB"/>
        </w:rPr>
      </w:pPr>
    </w:p>
    <w:p w:rsidR="00433B6E" w:rsidRPr="00E50CE1" w:rsidRDefault="00433B6E" w:rsidP="00433B6E">
      <w:pPr>
        <w:spacing w:after="200" w:line="240" w:lineRule="auto"/>
        <w:jc w:val="both"/>
        <w:rPr>
          <w:rFonts w:ascii="Times New Roman" w:eastAsia="Times New Roman" w:hAnsi="Times New Roman" w:cs="Times New Roman"/>
          <w:sz w:val="24"/>
          <w:szCs w:val="24"/>
          <w:lang w:val="en-GB" w:eastAsia="en-GB"/>
        </w:rPr>
      </w:pPr>
    </w:p>
    <w:p w:rsidR="00433B6E" w:rsidRPr="00E50CE1" w:rsidRDefault="00433B6E" w:rsidP="00433B6E">
      <w:pPr>
        <w:spacing w:after="200" w:line="240" w:lineRule="auto"/>
        <w:jc w:val="both"/>
        <w:rPr>
          <w:rFonts w:ascii="Times New Roman" w:eastAsia="Times New Roman" w:hAnsi="Times New Roman" w:cs="Times New Roman"/>
          <w:sz w:val="24"/>
          <w:szCs w:val="24"/>
          <w:lang w:val="en-GB" w:eastAsia="en-GB"/>
        </w:rPr>
      </w:pPr>
    </w:p>
    <w:p w:rsidR="00433B6E" w:rsidRPr="00E50CE1" w:rsidRDefault="00433B6E" w:rsidP="00433B6E">
      <w:pPr>
        <w:spacing w:after="200" w:line="240" w:lineRule="auto"/>
        <w:jc w:val="both"/>
        <w:rPr>
          <w:rFonts w:ascii="Times New Roman" w:eastAsia="Times New Roman" w:hAnsi="Times New Roman" w:cs="Times New Roman"/>
          <w:sz w:val="24"/>
          <w:szCs w:val="24"/>
          <w:lang w:val="en-GB" w:eastAsia="en-GB"/>
        </w:rPr>
      </w:pPr>
    </w:p>
    <w:p w:rsidR="00433B6E" w:rsidRPr="00E50CE1" w:rsidRDefault="00433B6E" w:rsidP="00433B6E">
      <w:pPr>
        <w:spacing w:after="200" w:line="240" w:lineRule="auto"/>
        <w:jc w:val="both"/>
        <w:rPr>
          <w:rFonts w:ascii="Times New Roman" w:eastAsia="Times New Roman" w:hAnsi="Times New Roman" w:cs="Times New Roman"/>
          <w:sz w:val="24"/>
          <w:szCs w:val="24"/>
          <w:lang w:val="en-GB" w:eastAsia="en-GB"/>
        </w:rPr>
      </w:pPr>
    </w:p>
    <w:p w:rsidR="00433B6E" w:rsidRPr="00E50CE1" w:rsidRDefault="00433B6E" w:rsidP="00433B6E">
      <w:pPr>
        <w:spacing w:after="200" w:line="240" w:lineRule="auto"/>
        <w:jc w:val="both"/>
        <w:rPr>
          <w:rFonts w:ascii="Times New Roman" w:eastAsia="Times New Roman" w:hAnsi="Times New Roman" w:cs="Times New Roman"/>
          <w:sz w:val="24"/>
          <w:szCs w:val="24"/>
          <w:lang w:val="en-GB" w:eastAsia="en-GB"/>
        </w:rPr>
      </w:pPr>
    </w:p>
    <w:p w:rsidR="00433B6E" w:rsidRPr="00E50CE1" w:rsidRDefault="00433B6E" w:rsidP="00433B6E">
      <w:pPr>
        <w:spacing w:after="200" w:line="240" w:lineRule="auto"/>
        <w:jc w:val="both"/>
        <w:rPr>
          <w:rFonts w:ascii="Times New Roman" w:eastAsia="Times New Roman" w:hAnsi="Times New Roman" w:cs="Times New Roman"/>
          <w:sz w:val="24"/>
          <w:szCs w:val="24"/>
          <w:lang w:val="en-GB" w:eastAsia="en-GB"/>
        </w:rPr>
      </w:pPr>
    </w:p>
    <w:p w:rsidR="00433B6E" w:rsidRPr="00E50CE1" w:rsidRDefault="00433B6E" w:rsidP="00433B6E">
      <w:pPr>
        <w:spacing w:after="200" w:line="240" w:lineRule="auto"/>
        <w:jc w:val="both"/>
        <w:rPr>
          <w:rFonts w:ascii="Times New Roman" w:eastAsia="Times New Roman" w:hAnsi="Times New Roman" w:cs="Times New Roman"/>
          <w:sz w:val="24"/>
          <w:szCs w:val="24"/>
          <w:lang w:val="en-GB" w:eastAsia="en-GB"/>
        </w:rPr>
      </w:pPr>
    </w:p>
    <w:p w:rsidR="00433B6E" w:rsidRPr="00E50CE1" w:rsidRDefault="00433B6E" w:rsidP="00433B6E">
      <w:pPr>
        <w:spacing w:after="200" w:line="480" w:lineRule="auto"/>
        <w:jc w:val="both"/>
        <w:rPr>
          <w:rFonts w:ascii="Times New Roman" w:eastAsia="Times New Roman" w:hAnsi="Times New Roman" w:cs="Times New Roman"/>
          <w:b/>
          <w:bCs/>
          <w:sz w:val="24"/>
          <w:szCs w:val="24"/>
          <w:lang w:val="en-GB" w:eastAsia="en-GB"/>
        </w:rPr>
      </w:pPr>
      <w:r w:rsidRPr="00E50CE1">
        <w:rPr>
          <w:rFonts w:ascii="Times New Roman" w:eastAsia="Times New Roman" w:hAnsi="Times New Roman" w:cs="Times New Roman"/>
          <w:b/>
          <w:bCs/>
          <w:sz w:val="24"/>
          <w:szCs w:val="24"/>
          <w:lang w:val="en-GB" w:eastAsia="en-GB"/>
        </w:rPr>
        <w:t>ABSTRACT.</w:t>
      </w:r>
    </w:p>
    <w:p w:rsidR="00433B6E" w:rsidRPr="00E50CE1" w:rsidRDefault="00433B6E" w:rsidP="00433B6E">
      <w:pPr>
        <w:spacing w:after="200" w:line="480" w:lineRule="auto"/>
        <w:jc w:val="both"/>
        <w:rPr>
          <w:rFonts w:ascii="Times New Roman" w:eastAsia="Times New Roman" w:hAnsi="Times New Roman" w:cs="Times New Roman"/>
          <w:sz w:val="24"/>
          <w:szCs w:val="24"/>
          <w:lang w:val="en-GB" w:eastAsia="en-GB"/>
        </w:rPr>
      </w:pPr>
      <w:r w:rsidRPr="00E50CE1">
        <w:rPr>
          <w:rFonts w:ascii="Times New Roman" w:eastAsia="Times New Roman" w:hAnsi="Times New Roman" w:cs="Times New Roman"/>
          <w:sz w:val="24"/>
          <w:szCs w:val="24"/>
          <w:lang w:val="en-GB" w:eastAsia="en-GB"/>
        </w:rPr>
        <w:lastRenderedPageBreak/>
        <w:t xml:space="preserve">Choroid plexus </w:t>
      </w:r>
      <w:proofErr w:type="spellStart"/>
      <w:r w:rsidRPr="00E50CE1">
        <w:rPr>
          <w:rFonts w:ascii="Times New Roman" w:eastAsia="Times New Roman" w:hAnsi="Times New Roman" w:cs="Times New Roman"/>
          <w:sz w:val="24"/>
          <w:szCs w:val="24"/>
          <w:lang w:val="en-GB" w:eastAsia="en-GB"/>
        </w:rPr>
        <w:t>papillomas</w:t>
      </w:r>
      <w:proofErr w:type="spellEnd"/>
      <w:r w:rsidRPr="00E50CE1">
        <w:rPr>
          <w:rFonts w:ascii="Times New Roman" w:eastAsia="Times New Roman" w:hAnsi="Times New Roman" w:cs="Times New Roman"/>
          <w:sz w:val="24"/>
          <w:szCs w:val="24"/>
          <w:lang w:val="en-GB" w:eastAsia="en-GB"/>
        </w:rPr>
        <w:t xml:space="preserve"> are rare benign tumours, which are found in both adult and paediatric age groups. The ‘atypical’ histological subclass is rarer still. The commonest site of occurrence is in the lateral ventricles; rare locations are the </w:t>
      </w:r>
      <w:proofErr w:type="spellStart"/>
      <w:r w:rsidRPr="00E50CE1">
        <w:rPr>
          <w:rFonts w:ascii="Times New Roman" w:eastAsia="Times New Roman" w:hAnsi="Times New Roman" w:cs="Times New Roman"/>
          <w:sz w:val="24"/>
          <w:szCs w:val="24"/>
          <w:lang w:val="en-GB" w:eastAsia="en-GB"/>
        </w:rPr>
        <w:t>cerebellopontine</w:t>
      </w:r>
      <w:proofErr w:type="spellEnd"/>
      <w:r w:rsidRPr="00E50CE1">
        <w:rPr>
          <w:rFonts w:ascii="Times New Roman" w:eastAsia="Times New Roman" w:hAnsi="Times New Roman" w:cs="Times New Roman"/>
          <w:sz w:val="24"/>
          <w:szCs w:val="24"/>
          <w:lang w:val="en-GB" w:eastAsia="en-GB"/>
        </w:rPr>
        <w:t xml:space="preserve"> angle and the third ventricle. </w:t>
      </w:r>
    </w:p>
    <w:p w:rsidR="00433B6E" w:rsidRPr="00E50CE1" w:rsidRDefault="00433B6E" w:rsidP="00433B6E">
      <w:pPr>
        <w:spacing w:after="200" w:line="480" w:lineRule="auto"/>
        <w:jc w:val="both"/>
        <w:rPr>
          <w:rFonts w:ascii="Times New Roman" w:eastAsia="Times New Roman" w:hAnsi="Times New Roman" w:cs="Times New Roman"/>
          <w:sz w:val="24"/>
          <w:szCs w:val="24"/>
          <w:lang w:val="en-GB" w:eastAsia="en-GB"/>
        </w:rPr>
      </w:pPr>
      <w:r w:rsidRPr="00E50CE1">
        <w:rPr>
          <w:rFonts w:ascii="Times New Roman" w:eastAsia="Times New Roman" w:hAnsi="Times New Roman" w:cs="Times New Roman"/>
          <w:sz w:val="24"/>
          <w:szCs w:val="24"/>
          <w:lang w:val="en-GB" w:eastAsia="en-GB"/>
        </w:rPr>
        <w:t xml:space="preserve">The goal of care is a gross total excision of the tumour. The histologic subtype determines further adjuvant care given to the patient. The outcome of the care of these patients depends on the histological grade, extent of surgical resection adjuvant care. </w:t>
      </w:r>
    </w:p>
    <w:p w:rsidR="00433B6E" w:rsidRPr="00E50CE1" w:rsidRDefault="00433B6E" w:rsidP="00433B6E">
      <w:pPr>
        <w:spacing w:after="200" w:line="480" w:lineRule="auto"/>
        <w:rPr>
          <w:rFonts w:ascii="Times New Roman" w:eastAsia="Times New Roman" w:hAnsi="Times New Roman" w:cs="Times New Roman"/>
          <w:sz w:val="24"/>
          <w:szCs w:val="24"/>
          <w:lang w:val="en-GB" w:eastAsia="en-GB"/>
        </w:rPr>
      </w:pPr>
      <w:r w:rsidRPr="00E50CE1">
        <w:rPr>
          <w:rFonts w:ascii="Times New Roman" w:eastAsia="Times New Roman" w:hAnsi="Times New Roman" w:cs="Times New Roman"/>
          <w:sz w:val="24"/>
          <w:szCs w:val="24"/>
          <w:lang w:val="en-GB" w:eastAsia="en-GB"/>
        </w:rPr>
        <w:t>We present a case</w:t>
      </w:r>
      <w:r w:rsidRPr="00E50CE1">
        <w:rPr>
          <w:rFonts w:ascii="Times New Roman" w:eastAsia="Times New Roman" w:hAnsi="Times New Roman" w:cs="Times New Roman"/>
          <w:color w:val="FF0000"/>
          <w:sz w:val="24"/>
          <w:szCs w:val="24"/>
          <w:lang w:val="en-GB" w:eastAsia="en-GB"/>
        </w:rPr>
        <w:t xml:space="preserve"> </w:t>
      </w:r>
      <w:r w:rsidRPr="00E50CE1">
        <w:rPr>
          <w:rFonts w:ascii="Times New Roman" w:eastAsia="Times New Roman" w:hAnsi="Times New Roman" w:cs="Times New Roman"/>
          <w:sz w:val="24"/>
          <w:szCs w:val="24"/>
          <w:lang w:val="en-GB" w:eastAsia="en-GB"/>
        </w:rPr>
        <w:t xml:space="preserve">of a 12 week-old infant with obstructive hydrocephalus, secondary to a third ventricular atypical choroid plexus papilloma. He had a ‘two-staged’ resection of the choroid plexus papilloma, using an endoscopic access via the right Kocher’s point in the right anterior </w:t>
      </w:r>
      <w:proofErr w:type="spellStart"/>
      <w:r w:rsidRPr="00E50CE1">
        <w:rPr>
          <w:rFonts w:ascii="Times New Roman" w:eastAsia="Times New Roman" w:hAnsi="Times New Roman" w:cs="Times New Roman"/>
          <w:sz w:val="24"/>
          <w:szCs w:val="24"/>
          <w:lang w:val="en-GB" w:eastAsia="en-GB"/>
        </w:rPr>
        <w:t>fontanelle</w:t>
      </w:r>
      <w:proofErr w:type="spellEnd"/>
      <w:r w:rsidRPr="00E50CE1">
        <w:rPr>
          <w:rFonts w:ascii="Times New Roman" w:eastAsia="Times New Roman" w:hAnsi="Times New Roman" w:cs="Times New Roman"/>
          <w:sz w:val="24"/>
          <w:szCs w:val="24"/>
          <w:lang w:val="en-GB" w:eastAsia="en-GB"/>
        </w:rPr>
        <w:t xml:space="preserve">, in the same position as that proposed for access in endoscopic third </w:t>
      </w:r>
      <w:proofErr w:type="spellStart"/>
      <w:r w:rsidRPr="00E50CE1">
        <w:rPr>
          <w:rFonts w:ascii="Times New Roman" w:eastAsia="Times New Roman" w:hAnsi="Times New Roman" w:cs="Times New Roman"/>
          <w:sz w:val="24"/>
          <w:szCs w:val="24"/>
          <w:lang w:val="en-GB" w:eastAsia="en-GB"/>
        </w:rPr>
        <w:t>ventriculostomy</w:t>
      </w:r>
      <w:proofErr w:type="spellEnd"/>
      <w:r w:rsidRPr="00E50CE1">
        <w:rPr>
          <w:rFonts w:ascii="Times New Roman" w:eastAsia="Times New Roman" w:hAnsi="Times New Roman" w:cs="Times New Roman"/>
          <w:sz w:val="24"/>
          <w:szCs w:val="24"/>
          <w:lang w:val="en-GB" w:eastAsia="en-GB"/>
        </w:rPr>
        <w:t xml:space="preserve"> because of the observed </w:t>
      </w:r>
      <w:proofErr w:type="spellStart"/>
      <w:r w:rsidRPr="00E50CE1">
        <w:rPr>
          <w:rFonts w:ascii="Times New Roman" w:eastAsia="Times New Roman" w:hAnsi="Times New Roman" w:cs="Times New Roman"/>
          <w:sz w:val="24"/>
          <w:szCs w:val="24"/>
          <w:lang w:val="en-GB" w:eastAsia="en-GB"/>
        </w:rPr>
        <w:t>sutural</w:t>
      </w:r>
      <w:proofErr w:type="spellEnd"/>
      <w:r w:rsidRPr="00E50CE1">
        <w:rPr>
          <w:rFonts w:ascii="Times New Roman" w:eastAsia="Times New Roman" w:hAnsi="Times New Roman" w:cs="Times New Roman"/>
          <w:sz w:val="24"/>
          <w:szCs w:val="24"/>
          <w:lang w:val="en-GB" w:eastAsia="en-GB"/>
        </w:rPr>
        <w:t xml:space="preserve"> diastasis.</w:t>
      </w:r>
    </w:p>
    <w:p w:rsidR="00433B6E" w:rsidRPr="00E50CE1" w:rsidRDefault="00433B6E" w:rsidP="00433B6E">
      <w:pPr>
        <w:spacing w:after="200" w:line="480" w:lineRule="auto"/>
        <w:jc w:val="both"/>
        <w:rPr>
          <w:rFonts w:ascii="Times New Roman" w:eastAsia="Times New Roman" w:hAnsi="Times New Roman" w:cs="Times New Roman"/>
          <w:sz w:val="24"/>
          <w:szCs w:val="24"/>
          <w:lang w:val="en-GB" w:eastAsia="en-GB"/>
        </w:rPr>
      </w:pPr>
      <w:r w:rsidRPr="00E50CE1">
        <w:rPr>
          <w:rFonts w:ascii="Times New Roman" w:eastAsia="Times New Roman" w:hAnsi="Times New Roman" w:cs="Times New Roman"/>
          <w:sz w:val="24"/>
          <w:szCs w:val="24"/>
          <w:lang w:val="en-GB" w:eastAsia="en-GB"/>
        </w:rPr>
        <w:t>Histology confirmed an atypical choroid plexus papilloma. He made progressive recovery post-surgery but unfortunately there has been default with follow-up clinic visits.</w:t>
      </w:r>
    </w:p>
    <w:p w:rsidR="00433B6E" w:rsidRPr="00E50CE1" w:rsidRDefault="00433B6E" w:rsidP="00433B6E">
      <w:pPr>
        <w:spacing w:after="200" w:line="480" w:lineRule="auto"/>
        <w:jc w:val="both"/>
        <w:rPr>
          <w:rFonts w:ascii="Times New Roman" w:eastAsia="Times New Roman" w:hAnsi="Times New Roman" w:cs="Times New Roman"/>
          <w:sz w:val="24"/>
          <w:szCs w:val="24"/>
          <w:lang w:val="en-GB" w:eastAsia="en-GB"/>
        </w:rPr>
      </w:pPr>
      <w:r w:rsidRPr="00E50CE1">
        <w:rPr>
          <w:rFonts w:ascii="Times New Roman" w:eastAsia="Times New Roman" w:hAnsi="Times New Roman" w:cs="Times New Roman"/>
          <w:b/>
          <w:sz w:val="24"/>
          <w:szCs w:val="24"/>
          <w:lang w:val="en-GB" w:eastAsia="en-GB"/>
        </w:rPr>
        <w:t>Keywords:</w:t>
      </w:r>
      <w:r w:rsidRPr="00E50CE1">
        <w:rPr>
          <w:rFonts w:ascii="Times New Roman" w:eastAsia="Times New Roman" w:hAnsi="Times New Roman" w:cs="Times New Roman"/>
          <w:sz w:val="24"/>
          <w:szCs w:val="24"/>
          <w:lang w:val="en-GB" w:eastAsia="en-GB"/>
        </w:rPr>
        <w:t xml:space="preserve"> Choroid plexus, Papilloma, Third ventricle, Endoscopy, hydrocephalus</w:t>
      </w:r>
    </w:p>
    <w:p w:rsidR="00433B6E" w:rsidRPr="00E50CE1" w:rsidRDefault="00433B6E" w:rsidP="00433B6E">
      <w:pPr>
        <w:spacing w:after="200" w:line="480" w:lineRule="auto"/>
        <w:jc w:val="both"/>
        <w:rPr>
          <w:rFonts w:ascii="Times New Roman" w:eastAsia="Times New Roman" w:hAnsi="Times New Roman" w:cs="Times New Roman"/>
          <w:sz w:val="24"/>
          <w:szCs w:val="24"/>
          <w:lang w:val="en-GB" w:eastAsia="en-GB"/>
        </w:rPr>
      </w:pPr>
    </w:p>
    <w:p w:rsidR="00433B6E" w:rsidRPr="00E50CE1" w:rsidRDefault="00433B6E" w:rsidP="00433B6E">
      <w:pPr>
        <w:spacing w:after="200" w:line="480" w:lineRule="auto"/>
        <w:jc w:val="both"/>
        <w:rPr>
          <w:rFonts w:ascii="Times New Roman" w:eastAsia="Times New Roman" w:hAnsi="Times New Roman" w:cs="Times New Roman"/>
          <w:sz w:val="24"/>
          <w:szCs w:val="24"/>
          <w:lang w:val="en-GB" w:eastAsia="en-GB"/>
        </w:rPr>
      </w:pPr>
      <w:r w:rsidRPr="00E50CE1">
        <w:rPr>
          <w:rFonts w:ascii="Times New Roman" w:eastAsia="Times New Roman" w:hAnsi="Times New Roman" w:cs="Times New Roman"/>
          <w:sz w:val="24"/>
          <w:szCs w:val="24"/>
          <w:lang w:val="en-GB" w:eastAsia="en-GB"/>
        </w:rPr>
        <w:t xml:space="preserve"> </w:t>
      </w:r>
    </w:p>
    <w:p w:rsidR="00433B6E" w:rsidRPr="00E50CE1" w:rsidRDefault="00433B6E" w:rsidP="00433B6E">
      <w:pPr>
        <w:spacing w:after="200" w:line="480" w:lineRule="auto"/>
        <w:jc w:val="both"/>
        <w:rPr>
          <w:rFonts w:ascii="Times New Roman" w:eastAsia="Times New Roman" w:hAnsi="Times New Roman" w:cs="Times New Roman"/>
          <w:b/>
          <w:bCs/>
          <w:sz w:val="24"/>
          <w:szCs w:val="24"/>
          <w:lang w:val="en-GB" w:eastAsia="en-GB"/>
        </w:rPr>
      </w:pPr>
    </w:p>
    <w:p w:rsidR="00433B6E" w:rsidRPr="00E50CE1" w:rsidRDefault="00433B6E" w:rsidP="00433B6E">
      <w:pPr>
        <w:spacing w:after="200" w:line="480" w:lineRule="auto"/>
        <w:jc w:val="both"/>
        <w:rPr>
          <w:rFonts w:ascii="Times New Roman" w:eastAsia="Times New Roman" w:hAnsi="Times New Roman" w:cs="Times New Roman"/>
          <w:b/>
          <w:bCs/>
          <w:sz w:val="24"/>
          <w:szCs w:val="24"/>
          <w:lang w:val="en-GB" w:eastAsia="en-GB"/>
        </w:rPr>
      </w:pPr>
    </w:p>
    <w:p w:rsidR="00433B6E" w:rsidRDefault="00433B6E" w:rsidP="00433B6E">
      <w:pPr>
        <w:spacing w:after="200" w:line="480" w:lineRule="auto"/>
        <w:jc w:val="both"/>
        <w:rPr>
          <w:rFonts w:ascii="Times New Roman" w:eastAsia="Times New Roman" w:hAnsi="Times New Roman" w:cs="Times New Roman"/>
          <w:b/>
          <w:bCs/>
          <w:sz w:val="24"/>
          <w:szCs w:val="24"/>
          <w:lang w:val="en-GB" w:eastAsia="en-GB"/>
        </w:rPr>
      </w:pPr>
    </w:p>
    <w:p w:rsidR="00433B6E" w:rsidRPr="00E50CE1" w:rsidRDefault="00433B6E" w:rsidP="00433B6E">
      <w:pPr>
        <w:spacing w:after="200" w:line="480" w:lineRule="auto"/>
        <w:jc w:val="both"/>
        <w:rPr>
          <w:rFonts w:ascii="Times New Roman" w:eastAsia="Times New Roman" w:hAnsi="Times New Roman" w:cs="Times New Roman"/>
          <w:b/>
          <w:bCs/>
          <w:sz w:val="24"/>
          <w:szCs w:val="24"/>
          <w:lang w:val="en-GB" w:eastAsia="en-GB"/>
        </w:rPr>
      </w:pPr>
      <w:r w:rsidRPr="00E50CE1">
        <w:rPr>
          <w:rFonts w:ascii="Times New Roman" w:eastAsia="Times New Roman" w:hAnsi="Times New Roman" w:cs="Times New Roman"/>
          <w:b/>
          <w:bCs/>
          <w:sz w:val="24"/>
          <w:szCs w:val="24"/>
          <w:lang w:val="en-GB" w:eastAsia="en-GB"/>
        </w:rPr>
        <w:t>BACKGROUND</w:t>
      </w:r>
    </w:p>
    <w:p w:rsidR="00433B6E" w:rsidRPr="00E50CE1" w:rsidRDefault="00433B6E" w:rsidP="00433B6E">
      <w:pPr>
        <w:spacing w:after="200" w:line="480" w:lineRule="auto"/>
        <w:jc w:val="both"/>
        <w:rPr>
          <w:rFonts w:ascii="Times New Roman" w:eastAsia="Times New Roman" w:hAnsi="Times New Roman" w:cs="Times New Roman"/>
          <w:sz w:val="24"/>
          <w:szCs w:val="24"/>
          <w:lang w:val="en-GB" w:eastAsia="en-GB"/>
        </w:rPr>
      </w:pPr>
      <w:r w:rsidRPr="00E50CE1">
        <w:rPr>
          <w:rFonts w:ascii="Times New Roman" w:eastAsia="Times New Roman" w:hAnsi="Times New Roman" w:cs="Times New Roman"/>
          <w:sz w:val="24"/>
          <w:szCs w:val="24"/>
          <w:lang w:val="en-GB" w:eastAsia="en-GB"/>
        </w:rPr>
        <w:lastRenderedPageBreak/>
        <w:t xml:space="preserve">Choroid plexus </w:t>
      </w:r>
      <w:proofErr w:type="spellStart"/>
      <w:r w:rsidRPr="00E50CE1">
        <w:rPr>
          <w:rFonts w:ascii="Times New Roman" w:eastAsia="Times New Roman" w:hAnsi="Times New Roman" w:cs="Times New Roman"/>
          <w:sz w:val="24"/>
          <w:szCs w:val="24"/>
          <w:lang w:val="en-GB" w:eastAsia="en-GB"/>
        </w:rPr>
        <w:t>papillomas</w:t>
      </w:r>
      <w:proofErr w:type="spellEnd"/>
      <w:r w:rsidRPr="00E50CE1">
        <w:rPr>
          <w:rFonts w:ascii="Times New Roman" w:eastAsia="Times New Roman" w:hAnsi="Times New Roman" w:cs="Times New Roman"/>
          <w:sz w:val="24"/>
          <w:szCs w:val="24"/>
          <w:lang w:val="en-GB" w:eastAsia="en-GB"/>
        </w:rPr>
        <w:t xml:space="preserve"> (CPP) are rare indolent tumours, in both paediatric and adult populations. They were first described by </w:t>
      </w:r>
      <w:proofErr w:type="spellStart"/>
      <w:r w:rsidRPr="00E50CE1">
        <w:rPr>
          <w:rFonts w:ascii="Times New Roman" w:eastAsia="Times New Roman" w:hAnsi="Times New Roman" w:cs="Times New Roman"/>
          <w:sz w:val="24"/>
          <w:szCs w:val="24"/>
          <w:lang w:val="en-GB" w:eastAsia="en-GB"/>
        </w:rPr>
        <w:t>Guerard</w:t>
      </w:r>
      <w:proofErr w:type="spellEnd"/>
      <w:r w:rsidRPr="00E50CE1">
        <w:rPr>
          <w:rFonts w:ascii="Times New Roman" w:eastAsia="Times New Roman" w:hAnsi="Times New Roman" w:cs="Times New Roman"/>
          <w:sz w:val="24"/>
          <w:szCs w:val="24"/>
          <w:lang w:val="en-GB" w:eastAsia="en-GB"/>
        </w:rPr>
        <w:t xml:space="preserve"> in 1832 and constitute about 0.5 – 1% of brain tumours in adults and 3-4% of brain tumours in the paediatric age group.</w:t>
      </w:r>
      <w:r w:rsidRPr="00E50CE1">
        <w:rPr>
          <w:rFonts w:ascii="Times New Roman" w:eastAsia="Times New Roman" w:hAnsi="Times New Roman" w:cs="Times New Roman"/>
          <w:sz w:val="24"/>
          <w:szCs w:val="24"/>
          <w:vertAlign w:val="superscript"/>
          <w:lang w:val="en-GB" w:eastAsia="en-GB"/>
        </w:rPr>
        <w:fldChar w:fldCharType="begin" w:fldLock="1"/>
      </w:r>
      <w:r w:rsidRPr="00E50CE1">
        <w:rPr>
          <w:rFonts w:ascii="Times New Roman" w:eastAsia="Times New Roman" w:hAnsi="Times New Roman" w:cs="Times New Roman"/>
          <w:sz w:val="24"/>
          <w:szCs w:val="24"/>
          <w:vertAlign w:val="superscript"/>
          <w:lang w:val="en-GB" w:eastAsia="en-GB"/>
        </w:rPr>
        <w:instrText>ADDIN CSL_CITATION {"citationItems":[{"id":"ITEM-1","itemData":{"author":[{"dropping-particle":"","family":"Aguzzi","given":"A","non-dropping-particle":"","parse-names":false,"suffix":""},{"dropping-particle":"","family":"Brandner","given":"S","non-dropping-particle":"","parse-names":false,"suffix":""},{"dropping-particle":"","family":"Paulus","given":"W","non-dropping-particle":"","parse-names":false,"suffix":""}],"editor":[{"dropping-particle":"","family":"Kleihues","given":"P","non-dropping-particle":"","parse-names":false,"suffix":""},{"dropping-particle":"","family":"Cavenee","given":"W","non-dropping-particle":"","parse-names":false,"suffix":""}],"id":"ITEM-1","issued":{"date-parts":[["2000"]]},"number-of-pages":"84-86","publisher":"IARC","publisher-place":"Lyon,France","title":"Choroid plexus tumors. Pathology and genetics-tumors of the nervous system","type":"book"},"uris":["http://www.mendeley.com/documents/?uuid=2cb508c8-47bc-3ece-b00e-7079fc5337a8"]},{"id":"ITEM-2","itemData":{"DOI":"10.3171/2012.8.PEDS12132","author":[{"dropping-particle":"","family":"Bettegowda","given":"Chetan","non-dropping-particle":"","parse-names":false,"suffix":""},{"dropping-particle":"","family":"Adogwa","given":"Owoicho","non-dropping-particle":"","parse-names":false,"suffix":""},{"dropping-particle":"","family":"Mehta","given":"Vivek","non-dropping-particle":"","parse-names":false,"suffix":""},{"dropping-particle":"","family":"Chaichana","given":"Kaisorn L.","non-dropping-particle":"","parse-names":false,"suffix":""},{"dropping-particle":"","family":"Weingart","given":"Jon","non-dropping-particle":"","parse-names":false,"suffix":""},{"dropping-particle":"","family":"Carson","given":"Benjamin S.","non-dropping-particle":"","parse-names":false,"suffix":""},{"dropping-particle":"","family":"Jallo","given":"George I.","non-dropping-particle":"","parse-names":false,"suffix":""},{"dropping-particle":"","family":"Ahn","given":"Edward S.","non-dropping-particle":"","parse-names":false,"suffix":""}],"container-title":"Journal of Neurosurgery: Pediatrics","id":"ITEM-2","issue":"5","issued":{"date-parts":[["2012","11","1"]]},"page":"398-405","publisher":"American Association of Neurological Surgeons","title":"Treatment of choroid plexus tumors: a 20-year single institutional experience","type":"article-journal","volume":"10"},"uris":["http://www.mendeley.com/documents/?uuid=a60351c6-7dc0-3e95-a1fa-c77ca702c45b"]},{"id":"ITEM-3","itemData":{"ISBN":"9780323088046","abstract":"10th ed. Previous edition: published as Ackerman's surgical pathology. 1996. \"Expert consult\"--Cover. The seven years that have elapsed between the current and the previous editions of this book have seen momentous changes taking place in the practice of surgical pathology. Immunohistochemistry has continued its notable expansion and has become an indispensable adjunct for the practice of the specialty. It has truly transformed the practice of surgical pathology in a fashion that no other technique has done before or after. Newcomers to the specialty take it for granted when ordering their panels, without pausing to think that only forty years ago none of this was available to the brave pathologists who based all of their diagnoses and other considerations on patterns of growth and cellular features seen in hematoxylin-stained slides, with the occasional modest help provided by one or another 'special stain'. We are now in the midst of another transformation, resulting from the application to surgical pathology specimens of the enormous amount of new knowledge derived from the molecular genetic revolution. The potential and - in some instances - the already tangible benefits of this technology are too obvious to be emphasized. It may instead be instructive to reflect on the effect that this barrage of new information is having on the approach to surgical pathology by the new generation of practitioners, and the danger that the tradition of meticulous gross and microscopic examination upon which surgical pathology has been built may be gradually eroding. Some of this may be inevitable and is perhaps not altogether undesirable, yet the amount of information that this time honored examination can still provide is so rich and dependable that one recoils at the thought of it being belittled or altogether ignored. With that caveat in mind, this edition dutifully incorporates the many promising results reached with the new technologies (emphasizing those in which a clinical validation has occurred), but always matching them against the results and conclusions derived from the morphology-based approach that has served pathologists so well for so long. This difficult integration task has been carried out in most chapters by Dr. John KC Chan, a brilliant representative of that emerging and still sparse cadre of surgical pathologists who combine a superb knowledge of conventional pathology with an understanding of the principles, possible applications and potentia…","author":[{"dropping-particle":"","family":"Rosai","given":"Juan","non-dropping-particle":"","parse-names":false,"suffix":""},{"dropping-particle":"V.","family":"Ackerman","given":"Lauren","non-dropping-particle":"","parse-names":false,"suffix":""},{"dropping-particle":"","family":"Rosai","given":"Juan","non-dropping-particle":"","parse-names":false,"suffix":""}],"edition":"10th ","id":"ITEM-3","issued":{"date-parts":[["2011"]]},"publisher":"Mosby Elsevier","publisher-place":"New York","title":"Rosai and Ackerman's surgical pathology","type":"book"},"uris":["http://www.mendeley.com/documents/?uuid=c62862d1-c01a-3b37-b17d-fc0b06598d85"]}],"mendeley":{"formattedCitation":"(1–3)","manualFormatting":"(1-3)","plainTextFormattedCitation":"(1–3)","previouslyFormattedCitation":"(1–3)"},"properties":{"noteIndex":0},"schema":"https://github.com/citation-style-language/schema/raw/master/csl-citation.json"}</w:instrText>
      </w:r>
      <w:r w:rsidRPr="00E50CE1">
        <w:rPr>
          <w:rFonts w:ascii="Times New Roman" w:eastAsia="Times New Roman" w:hAnsi="Times New Roman" w:cs="Times New Roman"/>
          <w:sz w:val="24"/>
          <w:szCs w:val="24"/>
          <w:vertAlign w:val="superscript"/>
          <w:lang w:val="en-GB" w:eastAsia="en-GB"/>
        </w:rPr>
        <w:fldChar w:fldCharType="separate"/>
      </w:r>
      <w:r w:rsidRPr="00E50CE1">
        <w:rPr>
          <w:rFonts w:ascii="Times New Roman" w:eastAsia="Times New Roman" w:hAnsi="Times New Roman" w:cs="Times New Roman"/>
          <w:noProof/>
          <w:sz w:val="24"/>
          <w:szCs w:val="24"/>
          <w:vertAlign w:val="superscript"/>
          <w:lang w:val="en-GB" w:eastAsia="en-GB"/>
        </w:rPr>
        <w:t>(1-3)</w:t>
      </w:r>
      <w:r w:rsidRPr="00E50CE1">
        <w:rPr>
          <w:rFonts w:ascii="Times New Roman" w:eastAsia="Times New Roman" w:hAnsi="Times New Roman" w:cs="Times New Roman"/>
          <w:sz w:val="24"/>
          <w:szCs w:val="24"/>
          <w:vertAlign w:val="superscript"/>
          <w:lang w:val="en-GB" w:eastAsia="en-GB"/>
        </w:rPr>
        <w:fldChar w:fldCharType="end"/>
      </w:r>
    </w:p>
    <w:p w:rsidR="00433B6E" w:rsidRPr="00E50CE1" w:rsidRDefault="00433B6E" w:rsidP="00433B6E">
      <w:pPr>
        <w:spacing w:after="200" w:line="480" w:lineRule="auto"/>
        <w:jc w:val="both"/>
        <w:rPr>
          <w:rFonts w:ascii="Times New Roman" w:eastAsia="Times New Roman" w:hAnsi="Times New Roman" w:cs="Times New Roman"/>
          <w:sz w:val="24"/>
          <w:szCs w:val="24"/>
          <w:lang w:val="en-GB" w:eastAsia="en-GB"/>
        </w:rPr>
      </w:pPr>
      <w:r w:rsidRPr="00E50CE1">
        <w:rPr>
          <w:rFonts w:ascii="Times New Roman" w:eastAsia="Times New Roman" w:hAnsi="Times New Roman" w:cs="Times New Roman"/>
          <w:sz w:val="24"/>
          <w:szCs w:val="24"/>
          <w:lang w:val="en-GB" w:eastAsia="en-GB"/>
        </w:rPr>
        <w:t>The lateral ventricles are the predominant location in children while in adults, the 4</w:t>
      </w:r>
      <w:r w:rsidRPr="00E50CE1">
        <w:rPr>
          <w:rFonts w:ascii="Times New Roman" w:eastAsia="Times New Roman" w:hAnsi="Times New Roman" w:cs="Times New Roman"/>
          <w:sz w:val="24"/>
          <w:szCs w:val="24"/>
          <w:vertAlign w:val="superscript"/>
          <w:lang w:val="en-GB" w:eastAsia="en-GB"/>
        </w:rPr>
        <w:t>th</w:t>
      </w:r>
      <w:r w:rsidRPr="00E50CE1">
        <w:rPr>
          <w:rFonts w:ascii="Times New Roman" w:eastAsia="Times New Roman" w:hAnsi="Times New Roman" w:cs="Times New Roman"/>
          <w:sz w:val="24"/>
          <w:szCs w:val="24"/>
          <w:lang w:val="en-GB" w:eastAsia="en-GB"/>
        </w:rPr>
        <w:t xml:space="preserve"> ventricle commonly harbours the tumour. Unusual locations for the tumour include the </w:t>
      </w:r>
      <w:proofErr w:type="spellStart"/>
      <w:r w:rsidRPr="00E50CE1">
        <w:rPr>
          <w:rFonts w:ascii="Times New Roman" w:eastAsia="Times New Roman" w:hAnsi="Times New Roman" w:cs="Times New Roman"/>
          <w:sz w:val="24"/>
          <w:szCs w:val="24"/>
          <w:lang w:val="en-GB" w:eastAsia="en-GB"/>
        </w:rPr>
        <w:t>cerebellopontine</w:t>
      </w:r>
      <w:proofErr w:type="spellEnd"/>
      <w:r w:rsidRPr="00E50CE1">
        <w:rPr>
          <w:rFonts w:ascii="Times New Roman" w:eastAsia="Times New Roman" w:hAnsi="Times New Roman" w:cs="Times New Roman"/>
          <w:sz w:val="24"/>
          <w:szCs w:val="24"/>
          <w:lang w:val="en-GB" w:eastAsia="en-GB"/>
        </w:rPr>
        <w:t xml:space="preserve"> angle and more rarely the third ventricle where they are found in the posterior third.</w:t>
      </w:r>
      <w:r w:rsidRPr="00E50CE1">
        <w:rPr>
          <w:rFonts w:ascii="Times New Roman" w:eastAsia="Times New Roman" w:hAnsi="Times New Roman" w:cs="Times New Roman"/>
          <w:sz w:val="24"/>
          <w:szCs w:val="24"/>
          <w:vertAlign w:val="superscript"/>
          <w:lang w:val="en-GB" w:eastAsia="en-GB"/>
        </w:rPr>
        <w:fldChar w:fldCharType="begin" w:fldLock="1"/>
      </w:r>
      <w:r w:rsidRPr="00E50CE1">
        <w:rPr>
          <w:rFonts w:ascii="Times New Roman" w:eastAsia="Times New Roman" w:hAnsi="Times New Roman" w:cs="Times New Roman"/>
          <w:sz w:val="24"/>
          <w:szCs w:val="24"/>
          <w:vertAlign w:val="superscript"/>
          <w:lang w:val="en-GB" w:eastAsia="en-GB"/>
        </w:rPr>
        <w:instrText>ADDIN CSL_CITATION {"citationItems":[{"id":"ITEM-1","itemData":{"DOI":"10.1007/s00701-019-03832-5","PMID":"30783805","abstract":"BACKGROUND Choroid plexus tumors are rare entities. Resection is the mainstay of treatment in grade I and grade II tumors and adjuvant treatment is usually reserved for the less frequent choroid plexus carcinoma (CPC). Outcome is not only related to their histological grade but also dependent on their size, location, and presence of often multifactorial disturbances of cerebrospinal fluid (CSF) circulation. METHODS Retrospective analysis of 36 consecutive patients operated on a choroid plexus tumor at our institution in a mixed pediatric and adult population between 1991 and 2016. RESULTS Twenty-one CPP, 11 atypical choroid plexus papillomas (aCPP), and four CPC were encountered in 17 children and 19 adults. Regardless of histological grading, gross-total resection (GTR) could be achieved in 91.7% of patients. Tumor recurrence (25.0%) was significantly associated with histological grading (p = 0.004), subtotal resection (p = 0.002), and intraoperatively evident zones of tumor infiltration (p = 0.001). Adjuvant therapy was performed in 19.4% of patients, mainly diagnosed with CPC. The 5-year overall survival rate was 95.2% for CPP and 100.0% for both aCPP and CPC. Survival was related to the extent of resection (p = 0.001), tumor progression (p = 0.04), and the presence of leptomeningeal metastases (p = 0.002). Even after resection, either ventricular or subdural shunting was required in 25.0% of patients. CONCLUSIONS We could confirm that GTR is crucial for treatment of choroid plexus tumors. Parenchymal tumor infiltration as detected intraoperatively was associated with the extent of resection and not limited to CPC. CSF disturbances mandating treatment may persist after resection.","author":[{"dropping-particle":"","family":"Hosmann","given":"Arthur","non-dropping-particle":"","parse-names":false,"suffix":""},{"dropping-particle":"","family":"Hinker","given":"Felix","non-dropping-particle":"","parse-names":false,"suffix":""},{"dropping-particle":"","family":"Dorfer","given":"Christian","non-dropping-particle":"","parse-names":false,"suffix":""},{"dropping-particle":"","family":"Slavc","given":"Irene","non-dropping-particle":"","parse-names":false,"suffix":""},{"dropping-particle":"","family":"Haberler","given":"Christine","non-dropping-particle":"","parse-names":false,"suffix":""},{"dropping-particle":"","family":"Dieckmann","given":"Karin","non-dropping-particle":"","parse-names":false,"suffix":""},{"dropping-particle":"","family":"Knosp","given":"Engelbert","non-dropping-particle":"","parse-names":false,"suffix":""},{"dropping-particle":"","family":"Czech","given":"Thomas","non-dropping-particle":"","parse-names":false,"suffix":""}],"container-title":"Acta neurochirurgica","id":"ITEM-1","issue":"4","issued":{"date-parts":[["2019","4","19"]]},"page":"745-754","title":"Management of choroid plexus tumors-an institutional experience.","type":"article-journal","volume":"161"},"uris":["http://www.mendeley.com/documents/?uuid=18eca838-d421-3aa9-a53a-a118c65e30cf"]},{"id":"ITEM-2","itemData":{"DOI":"10.1055/s-0033-1358378","PMID":"25083384","abstract":"Objectives We present the case of a choroid plexus papilloma (CPP) in the cerebellopontine angle (CPA), describe the different appearances of CPPs with a variety of imaging techniques, and discuss the differential diagnosis of CPA tumors. Participant and Design We report the case of a 52-year-old woman with headache, tinnitus, and unilateral hearing impairment whose preoperative magnetic resonance imaging revealed a heterogeneously enhancing CPA mass that extended into the internal auditory canal. Main Outcome Measures, Results, and Conclusion The preoperative imaging appearance of the lesion was most consistent with that of a schwannoma. Postoperative histopathologic examination found the tumor to be a CPP with cuboidal epithelial cells overlying fibrovascular stroma. CPPs are rare benign central nervous system neoplasms arising from choroid plexus epithelium. The most common site of presentation is in the fourth ventricle in adults and the lateral ventricles in children. CPPs rarely occur in the CPA, and when they do, clinical-radiologic diagnosis is difficult due to both the rarity of this presentation and to nonspecific radiological features.","author":[{"dropping-particle":"","family":"Anderson","given":"Mark","non-dropping-particle":"","parse-names":false,"suffix":""},{"dropping-particle":"","family":"Babington","given":"Parker","non-dropping-particle":"","parse-names":false,"suffix":""},{"dropping-particle":"","family":"Taheri","given":"Reza","non-dropping-particle":"","parse-names":false,"suffix":""},{"dropping-particle":"","family":"Diolombi","given":"Mairo","non-dropping-particle":"","parse-names":false,"suffix":""},{"dropping-particle":"","family":"Sherman","given":"Jonathan H","non-dropping-particle":"","parse-names":false,"suffix":""}],"container-title":"Journal of neurological surgery reports","id":"ITEM-2","issue":"1","issued":{"date-parts":[["2014","8","12"]]},"page":"e27-32","title":"Unique presentation of cerebellopontine angle choroid plexus papillomas: case report and review of the literature.","type":"article-journal","volume":"75"},"uris":["http://www.mendeley.com/documents/?uuid=16f6340a-f666-3e8e-9152-7220e8842c32"]}],"mendeley":{"formattedCitation":"(4,5)","plainTextFormattedCitation":"(4,5)","previouslyFormattedCitation":"(4,5)"},"properties":{"noteIndex":0},"schema":"https://github.com/citation-style-language/schema/raw/master/csl-citation.json"}</w:instrText>
      </w:r>
      <w:r w:rsidRPr="00E50CE1">
        <w:rPr>
          <w:rFonts w:ascii="Times New Roman" w:eastAsia="Times New Roman" w:hAnsi="Times New Roman" w:cs="Times New Roman"/>
          <w:sz w:val="24"/>
          <w:szCs w:val="24"/>
          <w:vertAlign w:val="superscript"/>
          <w:lang w:val="en-GB" w:eastAsia="en-GB"/>
        </w:rPr>
        <w:fldChar w:fldCharType="separate"/>
      </w:r>
      <w:r w:rsidRPr="00E50CE1">
        <w:rPr>
          <w:rFonts w:ascii="Times New Roman" w:eastAsia="Times New Roman" w:hAnsi="Times New Roman" w:cs="Times New Roman"/>
          <w:noProof/>
          <w:sz w:val="24"/>
          <w:szCs w:val="24"/>
          <w:vertAlign w:val="superscript"/>
          <w:lang w:val="en-GB" w:eastAsia="en-GB"/>
        </w:rPr>
        <w:t>(4,5)</w:t>
      </w:r>
      <w:r w:rsidRPr="00E50CE1">
        <w:rPr>
          <w:rFonts w:ascii="Times New Roman" w:eastAsia="Times New Roman" w:hAnsi="Times New Roman" w:cs="Times New Roman"/>
          <w:sz w:val="24"/>
          <w:szCs w:val="24"/>
          <w:vertAlign w:val="superscript"/>
          <w:lang w:val="en-GB" w:eastAsia="en-GB"/>
        </w:rPr>
        <w:fldChar w:fldCharType="end"/>
      </w:r>
    </w:p>
    <w:p w:rsidR="00433B6E" w:rsidRPr="00E50CE1" w:rsidRDefault="00433B6E" w:rsidP="00433B6E">
      <w:pPr>
        <w:spacing w:after="200" w:line="480" w:lineRule="auto"/>
        <w:jc w:val="both"/>
        <w:rPr>
          <w:rFonts w:ascii="Times New Roman" w:eastAsia="Times New Roman" w:hAnsi="Times New Roman" w:cs="Times New Roman"/>
          <w:sz w:val="24"/>
          <w:szCs w:val="24"/>
          <w:lang w:val="en-GB" w:eastAsia="en-GB"/>
        </w:rPr>
      </w:pPr>
      <w:r w:rsidRPr="00E50CE1">
        <w:rPr>
          <w:rFonts w:ascii="Times New Roman" w:eastAsia="Times New Roman" w:hAnsi="Times New Roman" w:cs="Times New Roman"/>
          <w:sz w:val="24"/>
          <w:szCs w:val="24"/>
          <w:lang w:val="en-GB" w:eastAsia="en-GB"/>
        </w:rPr>
        <w:t>The clinical presentation of the tumour is dependent on the size of the tumour as well as its location. Patients usually present with obstructive hydrocephalus and subsequently with features of raised intracranial pressure. Though the main stay of treatment for this tumour consists of gross total excision, which is potentially curative, the challenge of access especially to the third ventricle and the risks of complications such as intra-operative haemorrhage and hypothalamic injury makes surgery technically demanding.</w:t>
      </w:r>
      <w:r w:rsidRPr="00E50CE1">
        <w:rPr>
          <w:rFonts w:ascii="Times New Roman" w:eastAsia="Times New Roman" w:hAnsi="Times New Roman" w:cs="Times New Roman"/>
          <w:sz w:val="24"/>
          <w:szCs w:val="24"/>
          <w:vertAlign w:val="superscript"/>
          <w:lang w:val="en-GB" w:eastAsia="en-GB"/>
        </w:rPr>
        <w:fldChar w:fldCharType="begin" w:fldLock="1"/>
      </w:r>
      <w:r w:rsidRPr="00E50CE1">
        <w:rPr>
          <w:rFonts w:ascii="Times New Roman" w:eastAsia="Times New Roman" w:hAnsi="Times New Roman" w:cs="Times New Roman"/>
          <w:sz w:val="24"/>
          <w:szCs w:val="24"/>
          <w:vertAlign w:val="superscript"/>
          <w:lang w:val="en-GB" w:eastAsia="en-GB"/>
        </w:rPr>
        <w:instrText>ADDIN CSL_CITATION {"citationItems":[{"id":"ITEM-1","itemData":{"DOI":"10.1007/s11060-014-1616-x","PMID":"25270349","abstract":"Choroid plexus tumors (CPTs) are rare neoplasms of the central nervous system whose optimal management is not well defined. The Surveillance Epidemiology and End Results (SEER) Database from 1978 to 2009 was queried to define population-based outcomes for all patients with CPTs. Patient demographic data, histological classification (choroid plexus papilloma [CPP], atypical CPP [aCPP], and choroid plexus carcinoma [CPC]), extent of surgery, and use of radiation therapy (RT) as part of an initial course of therapy were analyzed for impact on overall survival (OS) and cause-specific survival (CSS). Chemotherapy data were not available within the SEER database. A total of 349 patients with CPTs were identified (120 CPCs, 26 aCPPs, and 203 CPPs). Patients with CPC presented at a younger age (median 3, mean 14.8 years) relative to CPP (median 25, mean 28.4 years; p &lt; 0.0001). Histology was a significant predictor of OS, with 5-year OS rates of 90, 77, and 58 % for CPP, aCPP, and CPC, respectively. Older age and male sex were prognostic for worse OS and CSS for CPP. Only extent of surgery had a significant impact on survival for CPC. The use of adjuvant RT in patients with CPC undergoing surgery was not associated with a significantly improved OS (p = 0.17). For patients undergoing GTR without RT as part of an initial course of therapy, estimated 5- and 10-year OS were 70 % (±7 %) and 67 % (±8 %), respectively. Prospective data are required to define the optimal combination of surgery with adjuvant therapies, including chemotherapy.","author":[{"dropping-particle":"","family":"Cannon","given":"Donald M","non-dropping-particle":"","parse-names":false,"suffix":""},{"dropping-particle":"","family":"Mohindra","given":"Pranshu","non-dropping-particle":"","parse-names":false,"suffix":""},{"dropping-particle":"","family":"Gondi","given":"Vinai","non-dropping-particle":"","parse-names":false,"suffix":""},{"dropping-particle":"","family":"Kruser","given":"Tim J","non-dropping-particle":"","parse-names":false,"suffix":""},{"dropping-particle":"","family":"Kozak","given":"Kevin R","non-dropping-particle":"","parse-names":false,"suffix":""}],"container-title":"Journal of neuro-oncology","id":"ITEM-1","issue":"1","issued":{"date-parts":[["2015","1","1"]]},"page":"151-7","title":"Choroid plexus tumor epidemiology and outcomes: implications for surgical and radiotherapeutic management.","type":"article-journal","volume":"121"},"uris":["http://www.mendeley.com/documents/?uuid=3ed4794d-75b2-36d9-a460-d5c99c998352"]}],"mendeley":{"formattedCitation":"(6)","plainTextFormattedCitation":"(6)","previouslyFormattedCitation":"(6)"},"properties":{"noteIndex":0},"schema":"https://github.com/citation-style-language/schema/raw/master/csl-citation.json"}</w:instrText>
      </w:r>
      <w:r w:rsidRPr="00E50CE1">
        <w:rPr>
          <w:rFonts w:ascii="Times New Roman" w:eastAsia="Times New Roman" w:hAnsi="Times New Roman" w:cs="Times New Roman"/>
          <w:sz w:val="24"/>
          <w:szCs w:val="24"/>
          <w:vertAlign w:val="superscript"/>
          <w:lang w:val="en-GB" w:eastAsia="en-GB"/>
        </w:rPr>
        <w:fldChar w:fldCharType="separate"/>
      </w:r>
      <w:r w:rsidRPr="00E50CE1">
        <w:rPr>
          <w:rFonts w:ascii="Times New Roman" w:eastAsia="Times New Roman" w:hAnsi="Times New Roman" w:cs="Times New Roman"/>
          <w:noProof/>
          <w:sz w:val="24"/>
          <w:szCs w:val="24"/>
          <w:vertAlign w:val="superscript"/>
          <w:lang w:val="en-GB" w:eastAsia="en-GB"/>
        </w:rPr>
        <w:t>(6)</w:t>
      </w:r>
      <w:r w:rsidRPr="00E50CE1">
        <w:rPr>
          <w:rFonts w:ascii="Times New Roman" w:eastAsia="Times New Roman" w:hAnsi="Times New Roman" w:cs="Times New Roman"/>
          <w:sz w:val="24"/>
          <w:szCs w:val="24"/>
          <w:vertAlign w:val="superscript"/>
          <w:lang w:val="en-GB" w:eastAsia="en-GB"/>
        </w:rPr>
        <w:fldChar w:fldCharType="end"/>
      </w:r>
    </w:p>
    <w:p w:rsidR="00433B6E" w:rsidRPr="00E50CE1" w:rsidRDefault="00433B6E" w:rsidP="00433B6E">
      <w:pPr>
        <w:spacing w:after="200" w:line="480" w:lineRule="auto"/>
        <w:jc w:val="both"/>
        <w:rPr>
          <w:rFonts w:ascii="Times New Roman" w:eastAsia="Times New Roman" w:hAnsi="Times New Roman" w:cs="Times New Roman"/>
          <w:b/>
          <w:bCs/>
          <w:sz w:val="24"/>
          <w:szCs w:val="24"/>
          <w:lang w:val="en-GB" w:eastAsia="en-GB"/>
        </w:rPr>
      </w:pPr>
      <w:r w:rsidRPr="00E50CE1">
        <w:rPr>
          <w:rFonts w:ascii="Times New Roman" w:eastAsia="Times New Roman" w:hAnsi="Times New Roman" w:cs="Times New Roman"/>
          <w:sz w:val="24"/>
          <w:szCs w:val="24"/>
          <w:lang w:val="en-GB" w:eastAsia="en-GB"/>
        </w:rPr>
        <w:t>We present the case of an infant who presented with features of raised intracranial pressure from what was thought to be post-</w:t>
      </w:r>
      <w:proofErr w:type="spellStart"/>
      <w:r w:rsidRPr="00E50CE1">
        <w:rPr>
          <w:rFonts w:ascii="Times New Roman" w:eastAsia="Times New Roman" w:hAnsi="Times New Roman" w:cs="Times New Roman"/>
          <w:sz w:val="24"/>
          <w:szCs w:val="24"/>
          <w:lang w:val="en-GB" w:eastAsia="en-GB"/>
        </w:rPr>
        <w:t>meningitic</w:t>
      </w:r>
      <w:proofErr w:type="spellEnd"/>
      <w:r w:rsidRPr="00E50CE1">
        <w:rPr>
          <w:rFonts w:ascii="Times New Roman" w:eastAsia="Times New Roman" w:hAnsi="Times New Roman" w:cs="Times New Roman"/>
          <w:sz w:val="24"/>
          <w:szCs w:val="24"/>
          <w:lang w:val="en-GB" w:eastAsia="en-GB"/>
        </w:rPr>
        <w:t xml:space="preserve"> hydrocephalus. The </w:t>
      </w:r>
      <w:proofErr w:type="spellStart"/>
      <w:r w:rsidRPr="00E50CE1">
        <w:rPr>
          <w:rFonts w:ascii="Times New Roman" w:eastAsia="Times New Roman" w:hAnsi="Times New Roman" w:cs="Times New Roman"/>
          <w:sz w:val="24"/>
          <w:szCs w:val="24"/>
          <w:lang w:val="en-GB" w:eastAsia="en-GB"/>
        </w:rPr>
        <w:t>clinico</w:t>
      </w:r>
      <w:proofErr w:type="spellEnd"/>
      <w:r w:rsidRPr="00E50CE1">
        <w:rPr>
          <w:rFonts w:ascii="Times New Roman" w:eastAsia="Times New Roman" w:hAnsi="Times New Roman" w:cs="Times New Roman"/>
          <w:sz w:val="24"/>
          <w:szCs w:val="24"/>
          <w:lang w:val="en-GB" w:eastAsia="en-GB"/>
        </w:rPr>
        <w:t xml:space="preserve">-radiological diagnosis was however that of a choroid plexus tumour in the third ventricle and Dandy Walker Variant. The child subsequently had a staged endoscopic assisted gross total tumour excision, with histological confirmation of an atypical choroid plexus papilloma. The child made progressive neurological improvement and was discharged to the out-patient clinic, though parents have defaulted on follow-up visits. </w:t>
      </w:r>
    </w:p>
    <w:p w:rsidR="00433B6E" w:rsidRDefault="00433B6E" w:rsidP="00433B6E">
      <w:pPr>
        <w:spacing w:after="200" w:line="480" w:lineRule="auto"/>
        <w:jc w:val="both"/>
        <w:rPr>
          <w:rFonts w:ascii="Times New Roman" w:eastAsia="Times New Roman" w:hAnsi="Times New Roman" w:cs="Times New Roman"/>
          <w:b/>
          <w:bCs/>
          <w:sz w:val="24"/>
          <w:szCs w:val="24"/>
          <w:lang w:val="en-GB" w:eastAsia="en-GB"/>
        </w:rPr>
      </w:pPr>
    </w:p>
    <w:p w:rsidR="00433B6E" w:rsidRPr="00E50CE1" w:rsidRDefault="00433B6E" w:rsidP="00433B6E">
      <w:pPr>
        <w:spacing w:after="200" w:line="480" w:lineRule="auto"/>
        <w:jc w:val="both"/>
        <w:rPr>
          <w:rFonts w:ascii="Times New Roman" w:eastAsia="Times New Roman" w:hAnsi="Times New Roman" w:cs="Times New Roman"/>
          <w:sz w:val="24"/>
          <w:szCs w:val="24"/>
          <w:lang w:val="en-GB" w:eastAsia="en-GB"/>
        </w:rPr>
      </w:pPr>
      <w:r w:rsidRPr="00E50CE1">
        <w:rPr>
          <w:rFonts w:ascii="Times New Roman" w:eastAsia="Times New Roman" w:hAnsi="Times New Roman" w:cs="Times New Roman"/>
          <w:b/>
          <w:bCs/>
          <w:sz w:val="24"/>
          <w:szCs w:val="24"/>
          <w:lang w:val="en-GB" w:eastAsia="en-GB"/>
        </w:rPr>
        <w:t>CASE PRESENTATION</w:t>
      </w:r>
    </w:p>
    <w:p w:rsidR="00433B6E" w:rsidRPr="00E50CE1" w:rsidRDefault="00433B6E" w:rsidP="00433B6E">
      <w:pPr>
        <w:spacing w:after="200" w:line="480" w:lineRule="auto"/>
        <w:rPr>
          <w:rFonts w:ascii="Times New Roman" w:eastAsia="Times New Roman" w:hAnsi="Times New Roman" w:cs="Times New Roman"/>
          <w:sz w:val="24"/>
          <w:szCs w:val="24"/>
          <w:lang w:val="en-GB" w:eastAsia="en-GB"/>
        </w:rPr>
      </w:pPr>
      <w:r w:rsidRPr="00E50CE1">
        <w:rPr>
          <w:rFonts w:ascii="Times New Roman" w:eastAsia="Times New Roman" w:hAnsi="Times New Roman" w:cs="Times New Roman"/>
          <w:sz w:val="24"/>
          <w:szCs w:val="24"/>
          <w:lang w:val="en-GB" w:eastAsia="en-GB"/>
        </w:rPr>
        <w:t xml:space="preserve">A 12-week-old male infant was referred from the paediatric neurology unit for evaluation for post </w:t>
      </w:r>
      <w:proofErr w:type="spellStart"/>
      <w:r w:rsidRPr="00E50CE1">
        <w:rPr>
          <w:rFonts w:ascii="Times New Roman" w:eastAsia="Times New Roman" w:hAnsi="Times New Roman" w:cs="Times New Roman"/>
          <w:sz w:val="24"/>
          <w:szCs w:val="24"/>
          <w:lang w:val="en-GB" w:eastAsia="en-GB"/>
        </w:rPr>
        <w:t>meningitic</w:t>
      </w:r>
      <w:proofErr w:type="spellEnd"/>
      <w:r w:rsidRPr="00E50CE1">
        <w:rPr>
          <w:rFonts w:ascii="Times New Roman" w:eastAsia="Times New Roman" w:hAnsi="Times New Roman" w:cs="Times New Roman"/>
          <w:sz w:val="24"/>
          <w:szCs w:val="24"/>
          <w:lang w:val="en-GB" w:eastAsia="en-GB"/>
        </w:rPr>
        <w:t xml:space="preserve"> hydrocephalus following an ultrasound scan. He was admitted at 11-weeks of </w:t>
      </w:r>
      <w:r w:rsidRPr="00E50CE1">
        <w:rPr>
          <w:rFonts w:ascii="Times New Roman" w:eastAsia="Times New Roman" w:hAnsi="Times New Roman" w:cs="Times New Roman"/>
          <w:sz w:val="24"/>
          <w:szCs w:val="24"/>
          <w:lang w:val="en-GB" w:eastAsia="en-GB"/>
        </w:rPr>
        <w:lastRenderedPageBreak/>
        <w:t xml:space="preserve">life via the children emergency to the paediatric service and had had a history of refusal of feeds and lethargy for 3 weeks prior to admission. Fever and bulging of the anterior </w:t>
      </w:r>
      <w:proofErr w:type="spellStart"/>
      <w:r w:rsidRPr="00E50CE1">
        <w:rPr>
          <w:rFonts w:ascii="Times New Roman" w:eastAsia="Times New Roman" w:hAnsi="Times New Roman" w:cs="Times New Roman"/>
          <w:sz w:val="24"/>
          <w:szCs w:val="24"/>
          <w:lang w:val="en-GB" w:eastAsia="en-GB"/>
        </w:rPr>
        <w:t>fontanelle</w:t>
      </w:r>
      <w:proofErr w:type="spellEnd"/>
      <w:r w:rsidRPr="00E50CE1">
        <w:rPr>
          <w:rFonts w:ascii="Times New Roman" w:eastAsia="Times New Roman" w:hAnsi="Times New Roman" w:cs="Times New Roman"/>
          <w:sz w:val="24"/>
          <w:szCs w:val="24"/>
          <w:lang w:val="en-GB" w:eastAsia="en-GB"/>
        </w:rPr>
        <w:t xml:space="preserve"> were observed 3 days prior to presentation at our facility (</w:t>
      </w:r>
      <w:proofErr w:type="spellStart"/>
      <w:r w:rsidRPr="00E50CE1">
        <w:rPr>
          <w:rFonts w:ascii="Times New Roman" w:eastAsia="Times New Roman" w:hAnsi="Times New Roman" w:cs="Times New Roman"/>
          <w:sz w:val="24"/>
          <w:szCs w:val="24"/>
          <w:lang w:val="en-GB" w:eastAsia="en-GB"/>
        </w:rPr>
        <w:t>ie</w:t>
      </w:r>
      <w:proofErr w:type="spellEnd"/>
      <w:r w:rsidRPr="00E50CE1">
        <w:rPr>
          <w:rFonts w:ascii="Times New Roman" w:eastAsia="Times New Roman" w:hAnsi="Times New Roman" w:cs="Times New Roman"/>
          <w:sz w:val="24"/>
          <w:szCs w:val="24"/>
          <w:lang w:val="en-GB" w:eastAsia="en-GB"/>
        </w:rPr>
        <w:t xml:space="preserve"> at 10 weeks and 4 days of life). He had initially been cared for at a private hospital and had been receiving treatment for meningitis for a total of about four weeks </w:t>
      </w:r>
      <w:r w:rsidRPr="00E50CE1">
        <w:rPr>
          <w:rFonts w:ascii="Times New Roman" w:eastAsia="Times New Roman" w:hAnsi="Times New Roman" w:cs="Times New Roman"/>
          <w:strike/>
          <w:sz w:val="24"/>
          <w:szCs w:val="24"/>
          <w:lang w:val="en-GB" w:eastAsia="en-GB"/>
        </w:rPr>
        <w:t>in total</w:t>
      </w:r>
      <w:r w:rsidRPr="00E50CE1">
        <w:rPr>
          <w:rFonts w:ascii="Times New Roman" w:eastAsia="Times New Roman" w:hAnsi="Times New Roman" w:cs="Times New Roman"/>
          <w:sz w:val="24"/>
          <w:szCs w:val="24"/>
          <w:lang w:val="en-GB" w:eastAsia="en-GB"/>
        </w:rPr>
        <w:t xml:space="preserve"> prior to neurosurgical consultation. There was history of progressively worsening head enlargement, lethargy, intermittent vomiting, and loss of previously acquired developmental milestones: neck control and social smile. He was also reported to be having focal tonic </w:t>
      </w:r>
      <w:proofErr w:type="spellStart"/>
      <w:r w:rsidRPr="00E50CE1">
        <w:rPr>
          <w:rFonts w:ascii="Times New Roman" w:eastAsia="Times New Roman" w:hAnsi="Times New Roman" w:cs="Times New Roman"/>
          <w:sz w:val="24"/>
          <w:szCs w:val="24"/>
          <w:lang w:val="en-GB" w:eastAsia="en-GB"/>
        </w:rPr>
        <w:t>clonic</w:t>
      </w:r>
      <w:proofErr w:type="spellEnd"/>
      <w:r w:rsidRPr="00E50CE1">
        <w:rPr>
          <w:rFonts w:ascii="Times New Roman" w:eastAsia="Times New Roman" w:hAnsi="Times New Roman" w:cs="Times New Roman"/>
          <w:sz w:val="24"/>
          <w:szCs w:val="24"/>
          <w:lang w:val="en-GB" w:eastAsia="en-GB"/>
        </w:rPr>
        <w:t xml:space="preserve"> seizures involving the left upper extremity and the left side of the face. He was the product of a term pregnancy. The mother attended antenatal clinics, and no adverse clinical conditions were noted during pregnancy. Delivery was uneventful and the child had had routine postnatal care. </w:t>
      </w:r>
    </w:p>
    <w:p w:rsidR="00433B6E" w:rsidRPr="00E50CE1" w:rsidRDefault="00433B6E" w:rsidP="00433B6E">
      <w:pPr>
        <w:spacing w:after="200" w:line="480" w:lineRule="auto"/>
        <w:jc w:val="both"/>
        <w:rPr>
          <w:rFonts w:ascii="Times New Roman" w:eastAsia="Times New Roman" w:hAnsi="Times New Roman" w:cs="Times New Roman"/>
          <w:sz w:val="24"/>
          <w:szCs w:val="24"/>
          <w:lang w:val="en-GB" w:eastAsia="en-GB"/>
        </w:rPr>
      </w:pPr>
      <w:r w:rsidRPr="00E50CE1">
        <w:rPr>
          <w:rFonts w:ascii="Times New Roman" w:eastAsia="Times New Roman" w:hAnsi="Times New Roman" w:cs="Times New Roman"/>
          <w:sz w:val="24"/>
          <w:szCs w:val="24"/>
          <w:lang w:val="en-GB" w:eastAsia="en-GB"/>
        </w:rPr>
        <w:t xml:space="preserve">Examination revealed an infant who was ill, afebrile, not pale, anicteric, with no peripheral lymph node enlargement or pedal oedema. He opened his eyes spontaneously, had a weak cry, and moved all his limbs. His pupils were 5mm bilaterally, briskly reacting to light, though he had </w:t>
      </w:r>
      <w:proofErr w:type="spellStart"/>
      <w:r w:rsidRPr="00E50CE1">
        <w:rPr>
          <w:rFonts w:ascii="Times New Roman" w:eastAsia="Times New Roman" w:hAnsi="Times New Roman" w:cs="Times New Roman"/>
          <w:sz w:val="24"/>
          <w:szCs w:val="24"/>
          <w:lang w:val="en-GB" w:eastAsia="en-GB"/>
        </w:rPr>
        <w:t>Parinaud’s</w:t>
      </w:r>
      <w:proofErr w:type="spellEnd"/>
      <w:r w:rsidRPr="00E50CE1">
        <w:rPr>
          <w:rFonts w:ascii="Times New Roman" w:eastAsia="Times New Roman" w:hAnsi="Times New Roman" w:cs="Times New Roman"/>
          <w:sz w:val="24"/>
          <w:szCs w:val="24"/>
          <w:lang w:val="en-GB" w:eastAsia="en-GB"/>
        </w:rPr>
        <w:t xml:space="preserve"> phenomenon characterized by up-gaze palsy and Collier’s sign. Light fixation was present and he was able to track light, </w:t>
      </w:r>
      <w:proofErr w:type="gramStart"/>
      <w:r w:rsidRPr="00E50CE1">
        <w:rPr>
          <w:rFonts w:ascii="Times New Roman" w:eastAsia="Times New Roman" w:hAnsi="Times New Roman" w:cs="Times New Roman"/>
          <w:sz w:val="24"/>
          <w:szCs w:val="24"/>
          <w:lang w:val="en-GB" w:eastAsia="en-GB"/>
        </w:rPr>
        <w:t>Other</w:t>
      </w:r>
      <w:proofErr w:type="gramEnd"/>
      <w:r w:rsidRPr="00E50CE1">
        <w:rPr>
          <w:rFonts w:ascii="Times New Roman" w:eastAsia="Times New Roman" w:hAnsi="Times New Roman" w:cs="Times New Roman"/>
          <w:sz w:val="24"/>
          <w:szCs w:val="24"/>
          <w:lang w:val="en-GB" w:eastAsia="en-GB"/>
        </w:rPr>
        <w:t xml:space="preserve"> cranial nerves appeared intact. He had normal muscle bulk with significant hypertonia. There was no differential limb weakness and the reflexes were grade 3 globally. His </w:t>
      </w:r>
      <w:proofErr w:type="spellStart"/>
      <w:r w:rsidRPr="00E50CE1">
        <w:rPr>
          <w:rFonts w:ascii="Times New Roman" w:eastAsia="Times New Roman" w:hAnsi="Times New Roman" w:cs="Times New Roman"/>
          <w:sz w:val="24"/>
          <w:szCs w:val="24"/>
          <w:lang w:val="en-GB" w:eastAsia="en-GB"/>
        </w:rPr>
        <w:t>occipitofrontal</w:t>
      </w:r>
      <w:proofErr w:type="spellEnd"/>
      <w:r w:rsidRPr="00E50CE1">
        <w:rPr>
          <w:rFonts w:ascii="Times New Roman" w:eastAsia="Times New Roman" w:hAnsi="Times New Roman" w:cs="Times New Roman"/>
          <w:sz w:val="24"/>
          <w:szCs w:val="24"/>
          <w:lang w:val="en-GB" w:eastAsia="en-GB"/>
        </w:rPr>
        <w:t xml:space="preserve"> circumference was 44cm (Normal 40.5cm ± 2cm using the WHO child growth standards). The anterior </w:t>
      </w:r>
      <w:proofErr w:type="spellStart"/>
      <w:r w:rsidRPr="00E50CE1">
        <w:rPr>
          <w:rFonts w:ascii="Times New Roman" w:eastAsia="Times New Roman" w:hAnsi="Times New Roman" w:cs="Times New Roman"/>
          <w:sz w:val="24"/>
          <w:szCs w:val="24"/>
          <w:lang w:val="en-GB" w:eastAsia="en-GB"/>
        </w:rPr>
        <w:t>fontanelle</w:t>
      </w:r>
      <w:proofErr w:type="spellEnd"/>
      <w:r w:rsidRPr="00E50CE1">
        <w:rPr>
          <w:rFonts w:ascii="Times New Roman" w:eastAsia="Times New Roman" w:hAnsi="Times New Roman" w:cs="Times New Roman"/>
          <w:sz w:val="24"/>
          <w:szCs w:val="24"/>
          <w:lang w:val="en-GB" w:eastAsia="en-GB"/>
        </w:rPr>
        <w:t xml:space="preserve"> was full but soft. The neck was supple with no signs of </w:t>
      </w:r>
      <w:proofErr w:type="spellStart"/>
      <w:r w:rsidRPr="00E50CE1">
        <w:rPr>
          <w:rFonts w:ascii="Times New Roman" w:eastAsia="Times New Roman" w:hAnsi="Times New Roman" w:cs="Times New Roman"/>
          <w:sz w:val="24"/>
          <w:szCs w:val="24"/>
          <w:lang w:val="en-GB" w:eastAsia="en-GB"/>
        </w:rPr>
        <w:t>meningism</w:t>
      </w:r>
      <w:proofErr w:type="spellEnd"/>
      <w:r w:rsidRPr="00E50CE1">
        <w:rPr>
          <w:rFonts w:ascii="Times New Roman" w:eastAsia="Times New Roman" w:hAnsi="Times New Roman" w:cs="Times New Roman"/>
          <w:sz w:val="24"/>
          <w:szCs w:val="24"/>
          <w:lang w:val="en-GB" w:eastAsia="en-GB"/>
        </w:rPr>
        <w:t xml:space="preserve">. The child had normal </w:t>
      </w:r>
      <w:proofErr w:type="spellStart"/>
      <w:r w:rsidRPr="00E50CE1">
        <w:rPr>
          <w:rFonts w:ascii="Times New Roman" w:eastAsia="Times New Roman" w:hAnsi="Times New Roman" w:cs="Times New Roman"/>
          <w:sz w:val="24"/>
          <w:szCs w:val="24"/>
          <w:lang w:val="en-GB" w:eastAsia="en-GB"/>
        </w:rPr>
        <w:t>haemogram</w:t>
      </w:r>
      <w:proofErr w:type="spellEnd"/>
      <w:r w:rsidRPr="00E50CE1">
        <w:rPr>
          <w:rFonts w:ascii="Times New Roman" w:eastAsia="Times New Roman" w:hAnsi="Times New Roman" w:cs="Times New Roman"/>
          <w:sz w:val="24"/>
          <w:szCs w:val="24"/>
          <w:lang w:val="en-GB" w:eastAsia="en-GB"/>
        </w:rPr>
        <w:t xml:space="preserve">, blood biochemistry, and clotting profile. Malaria screening and sepsis work up including CSF (collected via a ventricular tap) analysis were negative. </w:t>
      </w:r>
    </w:p>
    <w:p w:rsidR="00433B6E" w:rsidRPr="00E50CE1" w:rsidRDefault="00433B6E" w:rsidP="00433B6E">
      <w:pPr>
        <w:spacing w:after="200" w:line="480" w:lineRule="auto"/>
        <w:jc w:val="both"/>
        <w:rPr>
          <w:rFonts w:ascii="Times New Roman" w:eastAsia="Times New Roman" w:hAnsi="Times New Roman" w:cs="Times New Roman"/>
          <w:sz w:val="24"/>
          <w:szCs w:val="24"/>
          <w:lang w:val="en-GB" w:eastAsia="en-GB"/>
        </w:rPr>
      </w:pPr>
      <w:r w:rsidRPr="00E50CE1">
        <w:rPr>
          <w:rFonts w:ascii="Times New Roman" w:eastAsia="Times New Roman" w:hAnsi="Times New Roman" w:cs="Times New Roman"/>
          <w:sz w:val="24"/>
          <w:szCs w:val="24"/>
          <w:lang w:val="en-GB" w:eastAsia="en-GB"/>
        </w:rPr>
        <w:t xml:space="preserve">Cranial magnetic resonance imaging showed apparent craniofacial disproportion in favour of the cranium, confirming clinical findings. A large well-defined </w:t>
      </w:r>
      <w:proofErr w:type="spellStart"/>
      <w:r w:rsidRPr="00E50CE1">
        <w:rPr>
          <w:rFonts w:ascii="Times New Roman" w:eastAsia="Times New Roman" w:hAnsi="Times New Roman" w:cs="Times New Roman"/>
          <w:sz w:val="24"/>
          <w:szCs w:val="24"/>
          <w:lang w:val="en-GB" w:eastAsia="en-GB"/>
        </w:rPr>
        <w:t>multilobulated</w:t>
      </w:r>
      <w:proofErr w:type="spellEnd"/>
      <w:r w:rsidRPr="00E50CE1">
        <w:rPr>
          <w:rFonts w:ascii="Times New Roman" w:eastAsia="Times New Roman" w:hAnsi="Times New Roman" w:cs="Times New Roman"/>
          <w:sz w:val="24"/>
          <w:szCs w:val="24"/>
          <w:lang w:val="en-GB" w:eastAsia="en-GB"/>
        </w:rPr>
        <w:t xml:space="preserve"> mass, arising </w:t>
      </w:r>
      <w:r w:rsidRPr="00E50CE1">
        <w:rPr>
          <w:rFonts w:ascii="Times New Roman" w:eastAsia="Times New Roman" w:hAnsi="Times New Roman" w:cs="Times New Roman"/>
          <w:sz w:val="24"/>
          <w:szCs w:val="24"/>
          <w:lang w:val="en-GB" w:eastAsia="en-GB"/>
        </w:rPr>
        <w:lastRenderedPageBreak/>
        <w:t xml:space="preserve">from the posterior third ventricle was found; it was </w:t>
      </w:r>
      <w:proofErr w:type="spellStart"/>
      <w:r w:rsidRPr="00E50CE1">
        <w:rPr>
          <w:rFonts w:ascii="Times New Roman" w:eastAsia="Times New Roman" w:hAnsi="Times New Roman" w:cs="Times New Roman"/>
          <w:sz w:val="24"/>
          <w:szCs w:val="24"/>
          <w:lang w:val="en-GB" w:eastAsia="en-GB"/>
        </w:rPr>
        <w:t>iso-hypointense</w:t>
      </w:r>
      <w:proofErr w:type="spellEnd"/>
      <w:r w:rsidRPr="00E50CE1">
        <w:rPr>
          <w:rFonts w:ascii="Times New Roman" w:eastAsia="Times New Roman" w:hAnsi="Times New Roman" w:cs="Times New Roman"/>
          <w:sz w:val="24"/>
          <w:szCs w:val="24"/>
          <w:lang w:val="en-GB" w:eastAsia="en-GB"/>
        </w:rPr>
        <w:t xml:space="preserve"> on all sequences with moderate enhancement on T1 post contrast image. The mass measured 5.1cm in longitudinal section, 4.6cm in </w:t>
      </w:r>
      <w:proofErr w:type="spellStart"/>
      <w:r w:rsidRPr="00E50CE1">
        <w:rPr>
          <w:rFonts w:ascii="Times New Roman" w:eastAsia="Times New Roman" w:hAnsi="Times New Roman" w:cs="Times New Roman"/>
          <w:sz w:val="24"/>
          <w:szCs w:val="24"/>
          <w:lang w:val="en-GB" w:eastAsia="en-GB"/>
        </w:rPr>
        <w:t>anteroposterior</w:t>
      </w:r>
      <w:proofErr w:type="spellEnd"/>
      <w:r w:rsidRPr="00E50CE1">
        <w:rPr>
          <w:rFonts w:ascii="Times New Roman" w:eastAsia="Times New Roman" w:hAnsi="Times New Roman" w:cs="Times New Roman"/>
          <w:sz w:val="24"/>
          <w:szCs w:val="24"/>
          <w:lang w:val="en-GB" w:eastAsia="en-GB"/>
        </w:rPr>
        <w:t xml:space="preserve"> section and 4.3cm in transverse section, with an MRI volume of 52.5ml. The mass was noted to have a cauliflower-like appearance and it filled up the whole of the 3</w:t>
      </w:r>
      <w:r w:rsidRPr="00E50CE1">
        <w:rPr>
          <w:rFonts w:ascii="Times New Roman" w:eastAsia="Times New Roman" w:hAnsi="Times New Roman" w:cs="Times New Roman"/>
          <w:sz w:val="24"/>
          <w:szCs w:val="24"/>
          <w:vertAlign w:val="superscript"/>
          <w:lang w:val="en-GB" w:eastAsia="en-GB"/>
        </w:rPr>
        <w:t>rd</w:t>
      </w:r>
      <w:r w:rsidRPr="00E50CE1">
        <w:rPr>
          <w:rFonts w:ascii="Times New Roman" w:eastAsia="Times New Roman" w:hAnsi="Times New Roman" w:cs="Times New Roman"/>
          <w:sz w:val="24"/>
          <w:szCs w:val="24"/>
          <w:lang w:val="en-GB" w:eastAsia="en-GB"/>
        </w:rPr>
        <w:t xml:space="preserve"> ventricle. There was obstruction of the aqueduct of </w:t>
      </w:r>
      <w:proofErr w:type="spellStart"/>
      <w:r w:rsidRPr="00E50CE1">
        <w:rPr>
          <w:rFonts w:ascii="Times New Roman" w:eastAsia="Times New Roman" w:hAnsi="Times New Roman" w:cs="Times New Roman"/>
          <w:sz w:val="24"/>
          <w:szCs w:val="24"/>
          <w:lang w:val="en-GB" w:eastAsia="en-GB"/>
        </w:rPr>
        <w:t>Sylvius</w:t>
      </w:r>
      <w:proofErr w:type="spellEnd"/>
      <w:r w:rsidRPr="00E50CE1">
        <w:rPr>
          <w:rFonts w:ascii="Times New Roman" w:eastAsia="Times New Roman" w:hAnsi="Times New Roman" w:cs="Times New Roman"/>
          <w:sz w:val="24"/>
          <w:szCs w:val="24"/>
          <w:lang w:val="en-GB" w:eastAsia="en-GB"/>
        </w:rPr>
        <w:t xml:space="preserve"> causing an obstructive hydrocephalus with dilatation of the lateral ventricles and thinning of the cortical mantle. There was thinning of the corpus callosum and trans-ependymal seepage of CSF. There was hypoplasia of the cerebellar </w:t>
      </w:r>
      <w:proofErr w:type="spellStart"/>
      <w:r w:rsidRPr="00E50CE1">
        <w:rPr>
          <w:rFonts w:ascii="Times New Roman" w:eastAsia="Times New Roman" w:hAnsi="Times New Roman" w:cs="Times New Roman"/>
          <w:sz w:val="24"/>
          <w:szCs w:val="24"/>
          <w:lang w:val="en-GB" w:eastAsia="en-GB"/>
        </w:rPr>
        <w:t>vermis</w:t>
      </w:r>
      <w:proofErr w:type="spellEnd"/>
      <w:r w:rsidRPr="00E50CE1">
        <w:rPr>
          <w:rFonts w:ascii="Times New Roman" w:eastAsia="Times New Roman" w:hAnsi="Times New Roman" w:cs="Times New Roman"/>
          <w:sz w:val="24"/>
          <w:szCs w:val="24"/>
          <w:lang w:val="en-GB" w:eastAsia="en-GB"/>
        </w:rPr>
        <w:t xml:space="preserve"> with a cyst communicating with the fourth ventricle (Fig 1 [a-c]).</w:t>
      </w:r>
    </w:p>
    <w:p w:rsidR="00433B6E" w:rsidRPr="00E50CE1" w:rsidRDefault="00433B6E" w:rsidP="00433B6E">
      <w:pPr>
        <w:spacing w:after="0" w:line="240" w:lineRule="auto"/>
        <w:jc w:val="both"/>
        <w:rPr>
          <w:rFonts w:ascii="Calibri" w:eastAsia="Times New Roman" w:hAnsi="Calibri" w:cs="Times New Roman"/>
          <w:lang w:val="en-GB" w:eastAsia="en-GB"/>
        </w:rPr>
      </w:pPr>
      <w:r w:rsidRPr="00E50CE1">
        <w:rPr>
          <w:rFonts w:ascii="Calibri" w:eastAsia="Times New Roman" w:hAnsi="Calibri" w:cs="Times New Roman"/>
          <w:lang w:val="en-GB" w:eastAsia="en-GB"/>
        </w:rPr>
        <w:t xml:space="preserve"> </w:t>
      </w:r>
    </w:p>
    <w:p w:rsidR="00433B6E" w:rsidRPr="00E50CE1" w:rsidRDefault="00433B6E" w:rsidP="00433B6E">
      <w:pPr>
        <w:spacing w:after="200" w:line="480" w:lineRule="auto"/>
        <w:jc w:val="both"/>
        <w:rPr>
          <w:rFonts w:ascii="Times New Roman" w:eastAsia="Times New Roman" w:hAnsi="Times New Roman" w:cs="Times New Roman"/>
          <w:sz w:val="24"/>
          <w:szCs w:val="24"/>
          <w:lang w:val="en-GB" w:eastAsia="en-GB"/>
        </w:rPr>
      </w:pPr>
      <w:r w:rsidRPr="00E50CE1">
        <w:rPr>
          <w:rFonts w:ascii="Times New Roman" w:eastAsia="Times New Roman" w:hAnsi="Times New Roman" w:cs="Times New Roman"/>
          <w:sz w:val="24"/>
          <w:szCs w:val="24"/>
          <w:lang w:val="en-GB" w:eastAsia="en-GB"/>
        </w:rPr>
        <w:t xml:space="preserve">He subsequently had an endoscope assisted, right frontal </w:t>
      </w:r>
      <w:proofErr w:type="spellStart"/>
      <w:r w:rsidRPr="00E50CE1">
        <w:rPr>
          <w:rFonts w:ascii="Times New Roman" w:eastAsia="Times New Roman" w:hAnsi="Times New Roman" w:cs="Times New Roman"/>
          <w:sz w:val="24"/>
          <w:szCs w:val="24"/>
          <w:lang w:val="en-GB" w:eastAsia="en-GB"/>
        </w:rPr>
        <w:t>transcortical</w:t>
      </w:r>
      <w:proofErr w:type="spellEnd"/>
      <w:r w:rsidRPr="00E50CE1">
        <w:rPr>
          <w:rFonts w:ascii="Times New Roman" w:eastAsia="Times New Roman" w:hAnsi="Times New Roman" w:cs="Times New Roman"/>
          <w:sz w:val="24"/>
          <w:szCs w:val="24"/>
          <w:lang w:val="en-GB" w:eastAsia="en-GB"/>
        </w:rPr>
        <w:t xml:space="preserve">, trans-ventricular gross total excision of the tumour. </w:t>
      </w:r>
    </w:p>
    <w:p w:rsidR="00433B6E" w:rsidRPr="00E50CE1" w:rsidRDefault="00433B6E" w:rsidP="00433B6E">
      <w:pPr>
        <w:spacing w:after="200" w:line="480" w:lineRule="auto"/>
        <w:jc w:val="both"/>
        <w:rPr>
          <w:rFonts w:ascii="Times New Roman" w:eastAsia="Times New Roman" w:hAnsi="Times New Roman" w:cs="Times New Roman"/>
          <w:sz w:val="24"/>
          <w:szCs w:val="24"/>
          <w:lang w:val="en-GB" w:eastAsia="en-GB"/>
        </w:rPr>
      </w:pPr>
      <w:r w:rsidRPr="00E50CE1">
        <w:rPr>
          <w:rFonts w:ascii="Times New Roman" w:eastAsia="Times New Roman" w:hAnsi="Times New Roman" w:cs="Times New Roman"/>
          <w:sz w:val="24"/>
          <w:szCs w:val="24"/>
          <w:lang w:val="en-GB" w:eastAsia="en-GB"/>
        </w:rPr>
        <w:t xml:space="preserve">The child was positioned supine with the head in a neutral position on a doughnut headrest. Routine shaving was done, the skin was prepared and the surgical site isolated with sterile drapes. </w:t>
      </w:r>
    </w:p>
    <w:p w:rsidR="00433B6E" w:rsidRPr="00E50CE1" w:rsidRDefault="00433B6E" w:rsidP="00433B6E">
      <w:pPr>
        <w:spacing w:after="200" w:line="480" w:lineRule="auto"/>
        <w:jc w:val="both"/>
        <w:rPr>
          <w:rFonts w:ascii="Times New Roman" w:eastAsia="Times New Roman" w:hAnsi="Times New Roman" w:cs="Times New Roman"/>
          <w:sz w:val="24"/>
          <w:szCs w:val="24"/>
          <w:lang w:val="en-GB" w:eastAsia="en-GB"/>
        </w:rPr>
      </w:pPr>
      <w:r w:rsidRPr="00E50CE1">
        <w:rPr>
          <w:rFonts w:ascii="Times New Roman" w:eastAsia="Times New Roman" w:hAnsi="Times New Roman" w:cs="Times New Roman"/>
          <w:sz w:val="24"/>
          <w:szCs w:val="24"/>
          <w:lang w:val="en-GB" w:eastAsia="en-GB"/>
        </w:rPr>
        <w:t xml:space="preserve">The Kocher’s point was identified as shown (Fig. 2). </w:t>
      </w:r>
      <w:proofErr w:type="spellStart"/>
      <w:r w:rsidRPr="00E50CE1">
        <w:rPr>
          <w:rFonts w:ascii="Times New Roman" w:eastAsia="Times New Roman" w:hAnsi="Times New Roman" w:cs="Times New Roman"/>
          <w:sz w:val="24"/>
          <w:szCs w:val="24"/>
          <w:lang w:val="en-GB" w:eastAsia="en-GB"/>
        </w:rPr>
        <w:t>Sutural</w:t>
      </w:r>
      <w:proofErr w:type="spellEnd"/>
      <w:r w:rsidRPr="00E50CE1">
        <w:rPr>
          <w:rFonts w:ascii="Times New Roman" w:eastAsia="Times New Roman" w:hAnsi="Times New Roman" w:cs="Times New Roman"/>
          <w:sz w:val="24"/>
          <w:szCs w:val="24"/>
          <w:lang w:val="en-GB" w:eastAsia="en-GB"/>
        </w:rPr>
        <w:t xml:space="preserve"> diastasis was noted. Access was gained to the lateral ventricles through the Kocher’s point that was within the anterior </w:t>
      </w:r>
      <w:proofErr w:type="spellStart"/>
      <w:r w:rsidRPr="00E50CE1">
        <w:rPr>
          <w:rFonts w:ascii="Times New Roman" w:eastAsia="Times New Roman" w:hAnsi="Times New Roman" w:cs="Times New Roman"/>
          <w:sz w:val="24"/>
          <w:szCs w:val="24"/>
          <w:lang w:val="en-GB" w:eastAsia="en-GB"/>
        </w:rPr>
        <w:t>fontanelle</w:t>
      </w:r>
      <w:proofErr w:type="spellEnd"/>
      <w:r w:rsidRPr="00E50CE1">
        <w:rPr>
          <w:rFonts w:ascii="Times New Roman" w:eastAsia="Times New Roman" w:hAnsi="Times New Roman" w:cs="Times New Roman"/>
          <w:sz w:val="24"/>
          <w:szCs w:val="24"/>
          <w:lang w:val="en-GB" w:eastAsia="en-GB"/>
        </w:rPr>
        <w:t xml:space="preserve">, in the same position as that proposed for access in endoscopic third </w:t>
      </w:r>
      <w:proofErr w:type="spellStart"/>
      <w:r w:rsidRPr="00E50CE1">
        <w:rPr>
          <w:rFonts w:ascii="Times New Roman" w:eastAsia="Times New Roman" w:hAnsi="Times New Roman" w:cs="Times New Roman"/>
          <w:sz w:val="24"/>
          <w:szCs w:val="24"/>
          <w:lang w:val="en-GB" w:eastAsia="en-GB"/>
        </w:rPr>
        <w:t>ventriculostomy</w:t>
      </w:r>
      <w:proofErr w:type="spellEnd"/>
      <w:r w:rsidRPr="00E50CE1">
        <w:rPr>
          <w:rFonts w:ascii="Times New Roman" w:eastAsia="Times New Roman" w:hAnsi="Times New Roman" w:cs="Times New Roman"/>
          <w:sz w:val="24"/>
          <w:szCs w:val="24"/>
          <w:lang w:val="en-GB" w:eastAsia="en-GB"/>
        </w:rPr>
        <w:t xml:space="preserve">. An inverted ‘U’ incision was made around it (Fig. 2 and 3). This was deepened to the </w:t>
      </w:r>
      <w:proofErr w:type="spellStart"/>
      <w:r w:rsidRPr="00E50CE1">
        <w:rPr>
          <w:rFonts w:ascii="Times New Roman" w:eastAsia="Times New Roman" w:hAnsi="Times New Roman" w:cs="Times New Roman"/>
          <w:sz w:val="24"/>
          <w:szCs w:val="24"/>
          <w:lang w:val="en-GB" w:eastAsia="en-GB"/>
        </w:rPr>
        <w:t>galea</w:t>
      </w:r>
      <w:proofErr w:type="spellEnd"/>
      <w:r w:rsidRPr="00E50CE1">
        <w:rPr>
          <w:rFonts w:ascii="Times New Roman" w:eastAsia="Times New Roman" w:hAnsi="Times New Roman" w:cs="Times New Roman"/>
          <w:sz w:val="24"/>
          <w:szCs w:val="24"/>
          <w:lang w:val="en-GB" w:eastAsia="en-GB"/>
        </w:rPr>
        <w:t xml:space="preserve"> </w:t>
      </w:r>
      <w:proofErr w:type="spellStart"/>
      <w:r w:rsidRPr="00E50CE1">
        <w:rPr>
          <w:rFonts w:ascii="Times New Roman" w:eastAsia="Times New Roman" w:hAnsi="Times New Roman" w:cs="Times New Roman"/>
          <w:sz w:val="24"/>
          <w:szCs w:val="24"/>
          <w:lang w:val="en-GB" w:eastAsia="en-GB"/>
        </w:rPr>
        <w:t>aponeurosis</w:t>
      </w:r>
      <w:proofErr w:type="spellEnd"/>
      <w:r w:rsidRPr="00E50CE1">
        <w:rPr>
          <w:rFonts w:ascii="Times New Roman" w:eastAsia="Times New Roman" w:hAnsi="Times New Roman" w:cs="Times New Roman"/>
          <w:sz w:val="24"/>
          <w:szCs w:val="24"/>
          <w:lang w:val="en-GB" w:eastAsia="en-GB"/>
        </w:rPr>
        <w:t xml:space="preserve">. The flap was raised with the base towards the occiput. </w:t>
      </w:r>
      <w:proofErr w:type="spellStart"/>
      <w:r w:rsidRPr="00E50CE1">
        <w:rPr>
          <w:rFonts w:ascii="Times New Roman" w:eastAsia="Times New Roman" w:hAnsi="Times New Roman" w:cs="Times New Roman"/>
          <w:sz w:val="24"/>
          <w:szCs w:val="24"/>
          <w:lang w:val="en-GB" w:eastAsia="en-GB"/>
        </w:rPr>
        <w:t>Sutural</w:t>
      </w:r>
      <w:proofErr w:type="spellEnd"/>
      <w:r w:rsidRPr="00E50CE1">
        <w:rPr>
          <w:rFonts w:ascii="Times New Roman" w:eastAsia="Times New Roman" w:hAnsi="Times New Roman" w:cs="Times New Roman"/>
          <w:sz w:val="24"/>
          <w:szCs w:val="24"/>
          <w:lang w:val="en-GB" w:eastAsia="en-GB"/>
        </w:rPr>
        <w:t xml:space="preserve"> diastasis was observed. The </w:t>
      </w:r>
      <w:proofErr w:type="spellStart"/>
      <w:r w:rsidRPr="00E50CE1">
        <w:rPr>
          <w:rFonts w:ascii="Times New Roman" w:eastAsia="Times New Roman" w:hAnsi="Times New Roman" w:cs="Times New Roman"/>
          <w:sz w:val="24"/>
          <w:szCs w:val="24"/>
          <w:lang w:val="en-GB" w:eastAsia="en-GB"/>
        </w:rPr>
        <w:t>dura</w:t>
      </w:r>
      <w:proofErr w:type="spellEnd"/>
      <w:r w:rsidRPr="00E50CE1">
        <w:rPr>
          <w:rFonts w:ascii="Times New Roman" w:eastAsia="Times New Roman" w:hAnsi="Times New Roman" w:cs="Times New Roman"/>
          <w:sz w:val="24"/>
          <w:szCs w:val="24"/>
          <w:lang w:val="en-GB" w:eastAsia="en-GB"/>
        </w:rPr>
        <w:t xml:space="preserve"> was opened in a cruciate manner and secured away from the field using 4/0 </w:t>
      </w:r>
      <w:proofErr w:type="spellStart"/>
      <w:r w:rsidRPr="00E50CE1">
        <w:rPr>
          <w:rFonts w:ascii="Times New Roman" w:eastAsia="Times New Roman" w:hAnsi="Times New Roman" w:cs="Times New Roman"/>
          <w:sz w:val="24"/>
          <w:szCs w:val="24"/>
          <w:lang w:val="en-GB" w:eastAsia="en-GB"/>
        </w:rPr>
        <w:t>vicryl</w:t>
      </w:r>
      <w:proofErr w:type="spellEnd"/>
      <w:r w:rsidRPr="00E50CE1">
        <w:rPr>
          <w:rFonts w:ascii="Times New Roman" w:eastAsia="Times New Roman" w:hAnsi="Times New Roman" w:cs="Times New Roman"/>
          <w:sz w:val="24"/>
          <w:szCs w:val="24"/>
          <w:lang w:val="en-GB" w:eastAsia="en-GB"/>
        </w:rPr>
        <w:t xml:space="preserve"> sutures. </w:t>
      </w:r>
    </w:p>
    <w:p w:rsidR="00433B6E" w:rsidRPr="00E50CE1" w:rsidRDefault="00433B6E" w:rsidP="00433B6E">
      <w:pPr>
        <w:spacing w:after="200" w:line="480" w:lineRule="auto"/>
        <w:jc w:val="both"/>
        <w:rPr>
          <w:rFonts w:ascii="Times New Roman" w:eastAsia="Times New Roman" w:hAnsi="Times New Roman" w:cs="Times New Roman"/>
          <w:sz w:val="24"/>
          <w:szCs w:val="24"/>
          <w:lang w:val="en-GB" w:eastAsia="en-GB"/>
        </w:rPr>
      </w:pPr>
      <w:r w:rsidRPr="00E50CE1">
        <w:rPr>
          <w:rFonts w:ascii="Times New Roman" w:eastAsia="Times New Roman" w:hAnsi="Times New Roman" w:cs="Times New Roman"/>
          <w:sz w:val="24"/>
          <w:szCs w:val="24"/>
          <w:lang w:val="en-GB" w:eastAsia="en-GB"/>
        </w:rPr>
        <w:t xml:space="preserve">Cortical vessels were coagulated with bipolar cautery. A brain </w:t>
      </w:r>
      <w:proofErr w:type="spellStart"/>
      <w:r w:rsidRPr="00E50CE1">
        <w:rPr>
          <w:rFonts w:ascii="Times New Roman" w:eastAsia="Times New Roman" w:hAnsi="Times New Roman" w:cs="Times New Roman"/>
          <w:sz w:val="24"/>
          <w:szCs w:val="24"/>
          <w:lang w:val="en-GB" w:eastAsia="en-GB"/>
        </w:rPr>
        <w:t>canula</w:t>
      </w:r>
      <w:proofErr w:type="spellEnd"/>
      <w:r w:rsidRPr="00E50CE1">
        <w:rPr>
          <w:rFonts w:ascii="Times New Roman" w:eastAsia="Times New Roman" w:hAnsi="Times New Roman" w:cs="Times New Roman"/>
          <w:sz w:val="24"/>
          <w:szCs w:val="24"/>
          <w:lang w:val="en-GB" w:eastAsia="en-GB"/>
        </w:rPr>
        <w:t xml:space="preserve"> (V. </w:t>
      </w:r>
      <w:proofErr w:type="spellStart"/>
      <w:r w:rsidRPr="00E50CE1">
        <w:rPr>
          <w:rFonts w:ascii="Times New Roman" w:eastAsia="Times New Roman" w:hAnsi="Times New Roman" w:cs="Times New Roman"/>
          <w:sz w:val="24"/>
          <w:szCs w:val="24"/>
          <w:lang w:val="en-GB" w:eastAsia="en-GB"/>
        </w:rPr>
        <w:t>Muellar</w:t>
      </w:r>
      <w:proofErr w:type="spellEnd"/>
      <w:r w:rsidRPr="00E50CE1">
        <w:rPr>
          <w:rFonts w:ascii="Times New Roman" w:eastAsia="Times New Roman" w:hAnsi="Times New Roman" w:cs="Times New Roman"/>
          <w:sz w:val="24"/>
          <w:szCs w:val="24"/>
          <w:lang w:val="en-GB" w:eastAsia="en-GB"/>
        </w:rPr>
        <w:t xml:space="preserve">) was used to </w:t>
      </w:r>
      <w:proofErr w:type="spellStart"/>
      <w:r w:rsidRPr="00E50CE1">
        <w:rPr>
          <w:rFonts w:ascii="Times New Roman" w:eastAsia="Times New Roman" w:hAnsi="Times New Roman" w:cs="Times New Roman"/>
          <w:sz w:val="24"/>
          <w:szCs w:val="24"/>
          <w:lang w:val="en-GB" w:eastAsia="en-GB"/>
        </w:rPr>
        <w:t>cannulate</w:t>
      </w:r>
      <w:proofErr w:type="spellEnd"/>
      <w:r w:rsidRPr="00E50CE1">
        <w:rPr>
          <w:rFonts w:ascii="Times New Roman" w:eastAsia="Times New Roman" w:hAnsi="Times New Roman" w:cs="Times New Roman"/>
          <w:sz w:val="24"/>
          <w:szCs w:val="24"/>
          <w:lang w:val="en-GB" w:eastAsia="en-GB"/>
        </w:rPr>
        <w:t xml:space="preserve"> the right lateral ventricle. Clear cerebrospinal fluid was observed. The tract created </w:t>
      </w:r>
      <w:r w:rsidRPr="00E50CE1">
        <w:rPr>
          <w:rFonts w:ascii="Times New Roman" w:eastAsia="Times New Roman" w:hAnsi="Times New Roman" w:cs="Times New Roman"/>
          <w:sz w:val="24"/>
          <w:szCs w:val="24"/>
          <w:lang w:val="en-GB" w:eastAsia="en-GB"/>
        </w:rPr>
        <w:lastRenderedPageBreak/>
        <w:t xml:space="preserve">by the brain cannula was followed to </w:t>
      </w:r>
      <w:proofErr w:type="spellStart"/>
      <w:r w:rsidRPr="00E50CE1">
        <w:rPr>
          <w:rFonts w:ascii="Times New Roman" w:eastAsia="Times New Roman" w:hAnsi="Times New Roman" w:cs="Times New Roman"/>
          <w:sz w:val="24"/>
          <w:szCs w:val="24"/>
          <w:lang w:val="en-GB" w:eastAsia="en-GB"/>
        </w:rPr>
        <w:t>cannulate</w:t>
      </w:r>
      <w:proofErr w:type="spellEnd"/>
      <w:r w:rsidRPr="00E50CE1">
        <w:rPr>
          <w:rFonts w:ascii="Times New Roman" w:eastAsia="Times New Roman" w:hAnsi="Times New Roman" w:cs="Times New Roman"/>
          <w:sz w:val="24"/>
          <w:szCs w:val="24"/>
          <w:lang w:val="en-GB" w:eastAsia="en-GB"/>
        </w:rPr>
        <w:t xml:space="preserve"> the right lateral ventricle using a rigid zero-degree endoscope. There was a panoramic view of the expanded foramen of </w:t>
      </w:r>
      <w:proofErr w:type="spellStart"/>
      <w:r w:rsidRPr="00E50CE1">
        <w:rPr>
          <w:rFonts w:ascii="Times New Roman" w:eastAsia="Times New Roman" w:hAnsi="Times New Roman" w:cs="Times New Roman"/>
          <w:sz w:val="24"/>
          <w:szCs w:val="24"/>
          <w:lang w:val="en-GB" w:eastAsia="en-GB"/>
        </w:rPr>
        <w:t>Monro</w:t>
      </w:r>
      <w:proofErr w:type="spellEnd"/>
      <w:r w:rsidRPr="00E50CE1">
        <w:rPr>
          <w:rFonts w:ascii="Times New Roman" w:eastAsia="Times New Roman" w:hAnsi="Times New Roman" w:cs="Times New Roman"/>
          <w:sz w:val="24"/>
          <w:szCs w:val="24"/>
          <w:lang w:val="en-GB" w:eastAsia="en-GB"/>
        </w:rPr>
        <w:t xml:space="preserve">, the cauliflower like tumour in the third ventricle as well as the feeders from the anterior </w:t>
      </w:r>
      <w:proofErr w:type="spellStart"/>
      <w:r w:rsidRPr="00E50CE1">
        <w:rPr>
          <w:rFonts w:ascii="Times New Roman" w:eastAsia="Times New Roman" w:hAnsi="Times New Roman" w:cs="Times New Roman"/>
          <w:sz w:val="24"/>
          <w:szCs w:val="24"/>
          <w:lang w:val="en-GB" w:eastAsia="en-GB"/>
        </w:rPr>
        <w:t>choroidal</w:t>
      </w:r>
      <w:proofErr w:type="spellEnd"/>
      <w:r w:rsidRPr="00E50CE1">
        <w:rPr>
          <w:rFonts w:ascii="Times New Roman" w:eastAsia="Times New Roman" w:hAnsi="Times New Roman" w:cs="Times New Roman"/>
          <w:sz w:val="24"/>
          <w:szCs w:val="24"/>
          <w:lang w:val="en-GB" w:eastAsia="en-GB"/>
        </w:rPr>
        <w:t xml:space="preserve"> vessels were identified. Microsurgical excision of the tumour was then carried out under direct vision using operating loupes. </w:t>
      </w:r>
    </w:p>
    <w:p w:rsidR="00433B6E" w:rsidRPr="00E50CE1" w:rsidRDefault="00433B6E" w:rsidP="00433B6E">
      <w:pPr>
        <w:spacing w:after="200" w:line="480" w:lineRule="auto"/>
        <w:jc w:val="both"/>
        <w:rPr>
          <w:rFonts w:ascii="Times New Roman" w:eastAsia="Times New Roman" w:hAnsi="Times New Roman" w:cs="Times New Roman"/>
          <w:sz w:val="24"/>
          <w:szCs w:val="24"/>
          <w:lang w:val="en-GB" w:eastAsia="en-GB"/>
        </w:rPr>
      </w:pPr>
      <w:r w:rsidRPr="00E50CE1">
        <w:rPr>
          <w:rFonts w:ascii="Times New Roman" w:eastAsia="Times New Roman" w:hAnsi="Times New Roman" w:cs="Times New Roman"/>
          <w:sz w:val="24"/>
          <w:szCs w:val="24"/>
          <w:lang w:val="en-GB" w:eastAsia="en-GB"/>
        </w:rPr>
        <w:t xml:space="preserve"> Serial tumour </w:t>
      </w:r>
      <w:proofErr w:type="spellStart"/>
      <w:r w:rsidRPr="00E50CE1">
        <w:rPr>
          <w:rFonts w:ascii="Times New Roman" w:eastAsia="Times New Roman" w:hAnsi="Times New Roman" w:cs="Times New Roman"/>
          <w:sz w:val="24"/>
          <w:szCs w:val="24"/>
          <w:lang w:val="en-GB" w:eastAsia="en-GB"/>
        </w:rPr>
        <w:t>debulking</w:t>
      </w:r>
      <w:proofErr w:type="spellEnd"/>
      <w:r w:rsidRPr="00E50CE1">
        <w:rPr>
          <w:rFonts w:ascii="Times New Roman" w:eastAsia="Times New Roman" w:hAnsi="Times New Roman" w:cs="Times New Roman"/>
          <w:sz w:val="24"/>
          <w:szCs w:val="24"/>
          <w:lang w:val="en-GB" w:eastAsia="en-GB"/>
        </w:rPr>
        <w:t xml:space="preserve"> was done using cautery and haemostasis was achieved using oxidized cellulose. We stopped at subtotal excision with increasing difficulty at visualizing the tumour while </w:t>
      </w:r>
      <w:proofErr w:type="spellStart"/>
      <w:r w:rsidRPr="00E50CE1">
        <w:rPr>
          <w:rFonts w:ascii="Times New Roman" w:eastAsia="Times New Roman" w:hAnsi="Times New Roman" w:cs="Times New Roman"/>
          <w:sz w:val="24"/>
          <w:szCs w:val="24"/>
          <w:lang w:val="en-GB" w:eastAsia="en-GB"/>
        </w:rPr>
        <w:t>resecting</w:t>
      </w:r>
      <w:proofErr w:type="spellEnd"/>
      <w:r w:rsidRPr="00E50CE1">
        <w:rPr>
          <w:rFonts w:ascii="Times New Roman" w:eastAsia="Times New Roman" w:hAnsi="Times New Roman" w:cs="Times New Roman"/>
          <w:sz w:val="24"/>
          <w:szCs w:val="24"/>
          <w:lang w:val="en-GB" w:eastAsia="en-GB"/>
        </w:rPr>
        <w:t xml:space="preserve"> with operating loupes. A second surgery was done five days after the first surgery, using the endoscope to locate the whole extent of the residual tumour and with no hemodynamic challenges, we completed the tumour excision and confirmed with the endoscope. Gross total tumour excision was achieved and confirmed with the use of 0</w:t>
      </w:r>
      <w:r w:rsidRPr="00E50CE1">
        <w:rPr>
          <w:rFonts w:ascii="Times New Roman" w:eastAsia="Times New Roman" w:hAnsi="Times New Roman" w:cs="Times New Roman"/>
          <w:sz w:val="24"/>
          <w:szCs w:val="24"/>
          <w:vertAlign w:val="superscript"/>
          <w:lang w:val="en-GB" w:eastAsia="en-GB"/>
        </w:rPr>
        <w:t>0</w:t>
      </w:r>
      <w:r w:rsidRPr="00E50CE1">
        <w:rPr>
          <w:rFonts w:ascii="Times New Roman" w:eastAsia="Times New Roman" w:hAnsi="Times New Roman" w:cs="Times New Roman"/>
          <w:sz w:val="24"/>
          <w:szCs w:val="24"/>
          <w:lang w:val="en-GB" w:eastAsia="en-GB"/>
        </w:rPr>
        <w:t xml:space="preserve"> degrees and 30</w:t>
      </w:r>
      <w:r w:rsidRPr="00E50CE1">
        <w:rPr>
          <w:rFonts w:ascii="Times New Roman" w:eastAsia="Times New Roman" w:hAnsi="Times New Roman" w:cs="Times New Roman"/>
          <w:sz w:val="24"/>
          <w:szCs w:val="24"/>
          <w:vertAlign w:val="superscript"/>
          <w:lang w:val="en-GB" w:eastAsia="en-GB"/>
        </w:rPr>
        <w:t xml:space="preserve">0 </w:t>
      </w:r>
      <w:r w:rsidRPr="00E50CE1">
        <w:rPr>
          <w:rFonts w:ascii="Times New Roman" w:eastAsia="Times New Roman" w:hAnsi="Times New Roman" w:cs="Times New Roman"/>
          <w:sz w:val="24"/>
          <w:szCs w:val="24"/>
          <w:lang w:val="en-GB" w:eastAsia="en-GB"/>
        </w:rPr>
        <w:t>telescopes (Figure 4a and 4b). An external ventricular drain was inserted. And the wound was closed in layers.</w:t>
      </w:r>
      <w:r w:rsidRPr="00E50CE1">
        <w:rPr>
          <w:rFonts w:ascii="Times New Roman" w:eastAsia="Times New Roman" w:hAnsi="Times New Roman" w:cs="Times New Roman"/>
          <w:b/>
          <w:sz w:val="24"/>
          <w:szCs w:val="24"/>
          <w:lang w:val="en-GB" w:eastAsia="en-GB"/>
        </w:rPr>
        <w:t xml:space="preserve"> </w:t>
      </w:r>
    </w:p>
    <w:p w:rsidR="00433B6E" w:rsidRPr="00E50CE1" w:rsidRDefault="00433B6E" w:rsidP="00433B6E">
      <w:pPr>
        <w:spacing w:after="200" w:line="480" w:lineRule="auto"/>
        <w:jc w:val="both"/>
        <w:rPr>
          <w:rFonts w:ascii="Times New Roman" w:eastAsia="Times New Roman" w:hAnsi="Times New Roman" w:cs="Times New Roman"/>
          <w:sz w:val="24"/>
          <w:szCs w:val="24"/>
          <w:lang w:val="en-GB" w:eastAsia="en-GB"/>
        </w:rPr>
      </w:pPr>
      <w:r w:rsidRPr="00E50CE1">
        <w:rPr>
          <w:rFonts w:ascii="Times New Roman" w:eastAsia="Times New Roman" w:hAnsi="Times New Roman" w:cs="Times New Roman"/>
          <w:sz w:val="24"/>
          <w:szCs w:val="24"/>
          <w:lang w:val="en-GB" w:eastAsia="en-GB"/>
        </w:rPr>
        <w:t>Post-operatively the child had features of hypothalamic dysfunction with hyperthermia which resolved over the next 72-hours with antipyretics and tepid sponging, and digitalis to control the sinus tachycardia. The Spasticity resolved significantly post-surgery with physiotherapy and nutritional rehabilitation over 9 weeks.</w:t>
      </w:r>
    </w:p>
    <w:p w:rsidR="00433B6E" w:rsidRPr="00E50CE1" w:rsidRDefault="00433B6E" w:rsidP="00433B6E">
      <w:pPr>
        <w:spacing w:after="200" w:line="480" w:lineRule="auto"/>
        <w:jc w:val="both"/>
        <w:rPr>
          <w:rFonts w:ascii="Times New Roman" w:eastAsia="Times New Roman" w:hAnsi="Times New Roman" w:cs="Times New Roman"/>
          <w:bCs/>
          <w:sz w:val="24"/>
          <w:szCs w:val="24"/>
          <w:lang w:val="en-GB" w:eastAsia="en-GB"/>
        </w:rPr>
      </w:pPr>
      <w:r w:rsidRPr="00E50CE1">
        <w:rPr>
          <w:rFonts w:ascii="Times New Roman" w:eastAsia="Times New Roman" w:hAnsi="Times New Roman" w:cs="Times New Roman"/>
          <w:sz w:val="24"/>
          <w:szCs w:val="24"/>
          <w:lang w:val="en-GB" w:eastAsia="en-GB"/>
        </w:rPr>
        <w:t xml:space="preserve">The histopathology of the tumour was reported as an epithelial neoplasm composed of cells disposed in complex papillae with a </w:t>
      </w:r>
      <w:proofErr w:type="spellStart"/>
      <w:r w:rsidRPr="00E50CE1">
        <w:rPr>
          <w:rFonts w:ascii="Times New Roman" w:eastAsia="Times New Roman" w:hAnsi="Times New Roman" w:cs="Times New Roman"/>
          <w:sz w:val="24"/>
          <w:szCs w:val="24"/>
          <w:lang w:val="en-GB" w:eastAsia="en-GB"/>
        </w:rPr>
        <w:t>fibrovascular</w:t>
      </w:r>
      <w:proofErr w:type="spellEnd"/>
      <w:r w:rsidRPr="00E50CE1">
        <w:rPr>
          <w:rFonts w:ascii="Times New Roman" w:eastAsia="Times New Roman" w:hAnsi="Times New Roman" w:cs="Times New Roman"/>
          <w:sz w:val="24"/>
          <w:szCs w:val="24"/>
          <w:lang w:val="en-GB" w:eastAsia="en-GB"/>
        </w:rPr>
        <w:t xml:space="preserve"> core (Fig 5a, b). The papillae were lined with multiple layers of atypical cells (Fig 5c). These lining cells were moderately pleomorphic having </w:t>
      </w:r>
      <w:proofErr w:type="spellStart"/>
      <w:r w:rsidRPr="00E50CE1">
        <w:rPr>
          <w:rFonts w:ascii="Times New Roman" w:eastAsia="Times New Roman" w:hAnsi="Times New Roman" w:cs="Times New Roman"/>
          <w:sz w:val="24"/>
          <w:szCs w:val="24"/>
          <w:lang w:val="en-GB" w:eastAsia="en-GB"/>
        </w:rPr>
        <w:t>hyperchromatic</w:t>
      </w:r>
      <w:proofErr w:type="spellEnd"/>
      <w:r w:rsidRPr="00E50CE1">
        <w:rPr>
          <w:rFonts w:ascii="Times New Roman" w:eastAsia="Times New Roman" w:hAnsi="Times New Roman" w:cs="Times New Roman"/>
          <w:sz w:val="24"/>
          <w:szCs w:val="24"/>
          <w:lang w:val="en-GB" w:eastAsia="en-GB"/>
        </w:rPr>
        <w:t xml:space="preserve"> to vesicular nuclei and moderate cytoplasm (Fig 5d). There were areas of focal necrosis, with 3 mitoses per 10HPF. </w:t>
      </w:r>
      <w:r w:rsidRPr="00E50CE1">
        <w:rPr>
          <w:rFonts w:ascii="Times New Roman" w:eastAsia="Times New Roman" w:hAnsi="Times New Roman" w:cs="Times New Roman"/>
          <w:bCs/>
          <w:sz w:val="24"/>
          <w:szCs w:val="24"/>
          <w:lang w:val="en-GB" w:eastAsia="en-GB"/>
        </w:rPr>
        <w:t>The findings were in keeping with an atypical choroid plexus papilloma.</w:t>
      </w:r>
    </w:p>
    <w:p w:rsidR="00433B6E" w:rsidRPr="00E50CE1" w:rsidRDefault="00433B6E" w:rsidP="00433B6E">
      <w:pPr>
        <w:spacing w:after="200" w:line="480" w:lineRule="auto"/>
        <w:jc w:val="both"/>
        <w:rPr>
          <w:rFonts w:ascii="Times New Roman" w:eastAsia="Times New Roman" w:hAnsi="Times New Roman" w:cs="Times New Roman"/>
          <w:bCs/>
          <w:sz w:val="24"/>
          <w:szCs w:val="24"/>
          <w:lang w:val="en-GB" w:eastAsia="en-GB"/>
        </w:rPr>
      </w:pPr>
      <w:r w:rsidRPr="00E50CE1">
        <w:rPr>
          <w:rFonts w:ascii="Times New Roman" w:eastAsia="Times New Roman" w:hAnsi="Times New Roman" w:cs="Times New Roman"/>
          <w:bCs/>
          <w:sz w:val="24"/>
          <w:szCs w:val="24"/>
          <w:lang w:val="en-GB" w:eastAsia="en-GB"/>
        </w:rPr>
        <w:lastRenderedPageBreak/>
        <w:t xml:space="preserve">The child made good post-operative recovery. The brain was significantly decompressed post-surgery. He had no clinical features suggestive of progressive or worsening hydrocephalus, during the immediate post-op period and during rehabilitation. He was scheduled for review at the outpatient clinic, and determination was to be made on a right occipital </w:t>
      </w:r>
      <w:proofErr w:type="spellStart"/>
      <w:r w:rsidRPr="00E50CE1">
        <w:rPr>
          <w:rFonts w:ascii="Times New Roman" w:eastAsia="Times New Roman" w:hAnsi="Times New Roman" w:cs="Times New Roman"/>
          <w:bCs/>
          <w:sz w:val="24"/>
          <w:szCs w:val="24"/>
          <w:lang w:val="en-GB" w:eastAsia="en-GB"/>
        </w:rPr>
        <w:t>ventriculo</w:t>
      </w:r>
      <w:proofErr w:type="spellEnd"/>
      <w:r w:rsidRPr="00E50CE1">
        <w:rPr>
          <w:rFonts w:ascii="Times New Roman" w:eastAsia="Times New Roman" w:hAnsi="Times New Roman" w:cs="Times New Roman"/>
          <w:bCs/>
          <w:sz w:val="24"/>
          <w:szCs w:val="24"/>
          <w:lang w:val="en-GB" w:eastAsia="en-GB"/>
        </w:rPr>
        <w:t xml:space="preserve">-peritoneal shunt at that time. He was discharged after 11 weeks on admission, but has not been brought back for follow-up clinic visits. </w:t>
      </w:r>
    </w:p>
    <w:p w:rsidR="00433B6E" w:rsidRPr="00E50CE1" w:rsidRDefault="00433B6E" w:rsidP="00433B6E">
      <w:pPr>
        <w:spacing w:after="200" w:line="480" w:lineRule="auto"/>
        <w:jc w:val="both"/>
        <w:rPr>
          <w:rFonts w:ascii="Times New Roman" w:eastAsia="Times New Roman" w:hAnsi="Times New Roman" w:cs="Times New Roman"/>
          <w:b/>
          <w:bCs/>
          <w:sz w:val="24"/>
          <w:szCs w:val="24"/>
          <w:lang w:val="en-GB" w:eastAsia="en-GB"/>
        </w:rPr>
      </w:pPr>
      <w:r w:rsidRPr="00E50CE1">
        <w:rPr>
          <w:rFonts w:ascii="Times New Roman" w:eastAsia="Times New Roman" w:hAnsi="Times New Roman" w:cs="Times New Roman"/>
          <w:b/>
          <w:bCs/>
          <w:sz w:val="24"/>
          <w:szCs w:val="24"/>
          <w:lang w:val="en-GB" w:eastAsia="en-GB"/>
        </w:rPr>
        <w:t>DISCUSSION</w:t>
      </w:r>
    </w:p>
    <w:p w:rsidR="00433B6E" w:rsidRPr="00E50CE1" w:rsidRDefault="00433B6E" w:rsidP="00433B6E">
      <w:pPr>
        <w:spacing w:after="200" w:line="480" w:lineRule="auto"/>
        <w:jc w:val="both"/>
        <w:rPr>
          <w:rFonts w:ascii="Times New Roman" w:eastAsia="Times New Roman" w:hAnsi="Times New Roman" w:cs="Times New Roman"/>
          <w:sz w:val="24"/>
          <w:szCs w:val="24"/>
          <w:lang w:val="en-GB" w:eastAsia="en-GB"/>
        </w:rPr>
      </w:pPr>
      <w:r w:rsidRPr="00E50CE1">
        <w:rPr>
          <w:rFonts w:ascii="Times New Roman" w:eastAsia="Times New Roman" w:hAnsi="Times New Roman" w:cs="Times New Roman"/>
          <w:sz w:val="24"/>
          <w:szCs w:val="24"/>
          <w:lang w:val="en-GB" w:eastAsia="en-GB"/>
        </w:rPr>
        <w:t xml:space="preserve">In the latest World Health Organization classification of choroid plexus tumours, three groups were identified: choroid plexus </w:t>
      </w:r>
      <w:proofErr w:type="spellStart"/>
      <w:r w:rsidRPr="00E50CE1">
        <w:rPr>
          <w:rFonts w:ascii="Times New Roman" w:eastAsia="Times New Roman" w:hAnsi="Times New Roman" w:cs="Times New Roman"/>
          <w:sz w:val="24"/>
          <w:szCs w:val="24"/>
          <w:lang w:val="en-GB" w:eastAsia="en-GB"/>
        </w:rPr>
        <w:t>papillomas</w:t>
      </w:r>
      <w:proofErr w:type="spellEnd"/>
      <w:r w:rsidRPr="00E50CE1">
        <w:rPr>
          <w:rFonts w:ascii="Times New Roman" w:eastAsia="Times New Roman" w:hAnsi="Times New Roman" w:cs="Times New Roman"/>
          <w:sz w:val="24"/>
          <w:szCs w:val="24"/>
          <w:lang w:val="en-GB" w:eastAsia="en-GB"/>
        </w:rPr>
        <w:t xml:space="preserve">, atypical choroid plexus </w:t>
      </w:r>
      <w:proofErr w:type="spellStart"/>
      <w:r w:rsidRPr="00E50CE1">
        <w:rPr>
          <w:rFonts w:ascii="Times New Roman" w:eastAsia="Times New Roman" w:hAnsi="Times New Roman" w:cs="Times New Roman"/>
          <w:sz w:val="24"/>
          <w:szCs w:val="24"/>
          <w:lang w:val="en-GB" w:eastAsia="en-GB"/>
        </w:rPr>
        <w:t>papillomas</w:t>
      </w:r>
      <w:proofErr w:type="spellEnd"/>
      <w:r w:rsidRPr="00E50CE1">
        <w:rPr>
          <w:rFonts w:ascii="Times New Roman" w:eastAsia="Times New Roman" w:hAnsi="Times New Roman" w:cs="Times New Roman"/>
          <w:sz w:val="24"/>
          <w:szCs w:val="24"/>
          <w:lang w:val="en-GB" w:eastAsia="en-GB"/>
        </w:rPr>
        <w:t xml:space="preserve"> and choroid plexus carcinoma.</w:t>
      </w:r>
      <w:r w:rsidRPr="00E50CE1">
        <w:rPr>
          <w:rFonts w:ascii="Times New Roman" w:eastAsia="Times New Roman" w:hAnsi="Times New Roman" w:cs="Times New Roman"/>
          <w:sz w:val="24"/>
          <w:szCs w:val="24"/>
          <w:vertAlign w:val="superscript"/>
          <w:lang w:val="en-GB" w:eastAsia="en-GB"/>
        </w:rPr>
        <w:fldChar w:fldCharType="begin" w:fldLock="1"/>
      </w:r>
      <w:r w:rsidRPr="00E50CE1">
        <w:rPr>
          <w:rFonts w:ascii="Times New Roman" w:eastAsia="Times New Roman" w:hAnsi="Times New Roman" w:cs="Times New Roman"/>
          <w:sz w:val="24"/>
          <w:szCs w:val="24"/>
          <w:vertAlign w:val="superscript"/>
          <w:lang w:val="en-GB" w:eastAsia="en-GB"/>
        </w:rPr>
        <w:instrText>ADDIN CSL_CITATION {"citationItems":[{"id":"ITEM-1","itemData":{"DOI":"10.4103/1793-5482.153501","ISSN":"1793-5482","abstract":"Choiroid plexus tumor is rare, accounting for less than one percent of all primary intracranial tumors. The majority are found in the first decade of life. Infantile cases as the one we describe, although rare, have been reported. The most common locations are the lateral ventricles and lateral recesses of the 4th ventricle. The gross pathologic appearance is of globular red mass with a cauliflower-like configuration. The histology closely resembles that of the choroid plexus with delicate papillary projections composed of a fibrovascular stroma lined by a layer of columnar cells. Mitotic findings are rare and necrosis is not present. These tumors are rarely malignant.","author":[{"dropping-particle":"","family":"Sethi","given":"Divya","non-dropping-particle":"","parse-names":false,"suffix":""},{"dropping-particle":"","family":"Arora","given":"Rashmi","non-dropping-particle":"","parse-names":false,"suffix":""},{"dropping-particle":"","family":"Garg","given":"Ketan","non-dropping-particle":"","parse-names":false,"suffix":""},{"dropping-particle":"","family":"Tanwar","given":"Parul","non-dropping-particle":"","parse-names":false,"suffix":""}],"container-title":"Asian Journal of Neurosurgery","id":"ITEM-1","issue":"1","issued":{"date-parts":[["2017"]]},"page":"139 - 141","publisher":"Medknow Publications and Media Pvt. Ltd.","title":"Choroid plexus papilloma","type":"article-journal","volume":"12"},"uris":["http://www.mendeley.com/documents/?uuid=aebde556-f274-3fcf-9631-3282e0d6094f"]}],"mendeley":{"formattedCitation":"(7)","plainTextFormattedCitation":"(7)","previouslyFormattedCitation":"(7)"},"properties":{"noteIndex":0},"schema":"https://github.com/citation-style-language/schema/raw/master/csl-citation.json"}</w:instrText>
      </w:r>
      <w:r w:rsidRPr="00E50CE1">
        <w:rPr>
          <w:rFonts w:ascii="Times New Roman" w:eastAsia="Times New Roman" w:hAnsi="Times New Roman" w:cs="Times New Roman"/>
          <w:sz w:val="24"/>
          <w:szCs w:val="24"/>
          <w:vertAlign w:val="superscript"/>
          <w:lang w:val="en-GB" w:eastAsia="en-GB"/>
        </w:rPr>
        <w:fldChar w:fldCharType="separate"/>
      </w:r>
      <w:r w:rsidRPr="00E50CE1">
        <w:rPr>
          <w:rFonts w:ascii="Times New Roman" w:eastAsia="Times New Roman" w:hAnsi="Times New Roman" w:cs="Times New Roman"/>
          <w:noProof/>
          <w:sz w:val="24"/>
          <w:szCs w:val="24"/>
          <w:vertAlign w:val="superscript"/>
          <w:lang w:val="en-GB" w:eastAsia="en-GB"/>
        </w:rPr>
        <w:t>(7)</w:t>
      </w:r>
      <w:r w:rsidRPr="00E50CE1">
        <w:rPr>
          <w:rFonts w:ascii="Times New Roman" w:eastAsia="Times New Roman" w:hAnsi="Times New Roman" w:cs="Times New Roman"/>
          <w:sz w:val="24"/>
          <w:szCs w:val="24"/>
          <w:vertAlign w:val="superscript"/>
          <w:lang w:val="en-GB" w:eastAsia="en-GB"/>
        </w:rPr>
        <w:fldChar w:fldCharType="end"/>
      </w:r>
      <w:r w:rsidRPr="00E50CE1">
        <w:rPr>
          <w:rFonts w:ascii="Times New Roman" w:eastAsia="Times New Roman" w:hAnsi="Times New Roman" w:cs="Times New Roman"/>
          <w:sz w:val="24"/>
          <w:szCs w:val="24"/>
          <w:lang w:val="en-GB" w:eastAsia="en-GB"/>
        </w:rPr>
        <w:t xml:space="preserve"> Whilst these tumours are rare, the atypical choroid plexus papilloma (</w:t>
      </w:r>
      <w:proofErr w:type="spellStart"/>
      <w:r w:rsidRPr="00E50CE1">
        <w:rPr>
          <w:rFonts w:ascii="Times New Roman" w:eastAsia="Times New Roman" w:hAnsi="Times New Roman" w:cs="Times New Roman"/>
          <w:sz w:val="24"/>
          <w:szCs w:val="24"/>
          <w:lang w:val="en-GB" w:eastAsia="en-GB"/>
        </w:rPr>
        <w:t>aCPP</w:t>
      </w:r>
      <w:proofErr w:type="spellEnd"/>
      <w:r w:rsidRPr="00E50CE1">
        <w:rPr>
          <w:rFonts w:ascii="Times New Roman" w:eastAsia="Times New Roman" w:hAnsi="Times New Roman" w:cs="Times New Roman"/>
          <w:sz w:val="24"/>
          <w:szCs w:val="24"/>
          <w:lang w:val="en-GB" w:eastAsia="en-GB"/>
        </w:rPr>
        <w:t>) remains rarer still. The mean age of children with atypical choroid plexus papilloma is 0.7 years.</w:t>
      </w:r>
      <w:r w:rsidRPr="00E50CE1">
        <w:rPr>
          <w:rFonts w:ascii="Times New Roman" w:eastAsia="Times New Roman" w:hAnsi="Times New Roman" w:cs="Times New Roman"/>
          <w:sz w:val="24"/>
          <w:szCs w:val="24"/>
          <w:vertAlign w:val="superscript"/>
          <w:lang w:val="en-GB" w:eastAsia="en-GB"/>
        </w:rPr>
        <w:fldChar w:fldCharType="begin" w:fldLock="1"/>
      </w:r>
      <w:r w:rsidRPr="00E50CE1">
        <w:rPr>
          <w:rFonts w:ascii="Times New Roman" w:eastAsia="Times New Roman" w:hAnsi="Times New Roman" w:cs="Times New Roman"/>
          <w:sz w:val="24"/>
          <w:szCs w:val="24"/>
          <w:vertAlign w:val="superscript"/>
          <w:lang w:val="en-GB" w:eastAsia="en-GB"/>
        </w:rPr>
        <w:instrText>ADDIN CSL_CITATION {"citationItems":[{"id":"ITEM-1","itemData":{"DOI":"10.1007/s11060-009-9936-y","PMID":"19543851","abstract":"Atypical choroid plexus papilloma (APP) represents a novel intermediate-grade subtype of choroid plexus tumor (CPT), the clinical outcome of which has not been described yet. We present the first analysis of a group of APP patients enrolled in the ongoing CPT-SIOP-2000 study of CPTs. A worldwide registration and a randomized trial for those patients who require chemotherapy started in 2000. For APP, maximal surgical resection was recommended. After surgery, patients who had undergone complete resection were observed, whereas patients with incompletely resected or metastasized APP were treated with six chemotherapy courses (etoposide and vincristine, combined with either carboplatin or cyclophosphamide). Risk-adapted radiotherapy was given only to patients older than 3 years of age. Of the 106 patients with a centrally confirmed CPT histology, 30 had APP, 42 CPP and 34 CPC. APP patients were significantly younger (median = 0.7 years) than patients with CPP or CPC (both medians = 2.3 years). Complete resection was achieved in 68 (64%) patients (79% in CPP, 63% in APP, and 47% in CPC). Metastases were present at diagnosis in 17% of APP patients, 5% of CPP patients, and 21% of CPC patients. All nine APP patients who received postoperative chemotherapy showed an early response after two cycles: two had complete remission, four had partial response, and three had stable disease. In the observation group of 15 patients, one event was seen, and all patients were alive. In the treatment group, one patient with a metastasized tumor and incompletely resected APP died. While APP was defined histologically, median percentages of both the Ki-67/MIB-1 proliferation marker and the p53 tumor suppressor protein increased across the three histological subtypes (from CPP to APP and then CPC), suggesting that the subtypes comprise an ordinal categorization of increasingly severe CPT tumors. This ordering was reiterated by clinical outcome in the 92 patients treated per the study protocol, with 5-year EFS rates of 92% in 39 CPP patients, 83% in 24 APP patients, and 28% in 29 CPC patients. A similar ordering was seen when all 106 patients were evaluated for EFS. APP responded favorably to chemotherapy. The intermediate position of APP between CPP and CPC was supported by the clinical data.","author":[{"dropping-particle":"","family":"Wrede","given":"Brigitte","non-dropping-particle":"","parse-names":false,"suffix":""},{"dropping-particle":"","family":"Hasselblatt","given":"Martin","non-dropping-particle":"","parse-names":false,"suffix":""},{"dropping-particle":"","family":"Peters","given":"Ove","non-dropping-particle":"","parse-names":false,"suffix":""},{"dropping-particle":"","family":"Thall","given":"Peter F","non-dropping-particle":"","parse-names":false,"suffix":""},{"dropping-particle":"","family":"Kutluk","given":"Tezer","non-dropping-particle":"","parse-names":false,"suffix":""},{"dropping-particle":"","family":"Moghrabi","given":"Albert","non-dropping-particle":"","parse-names":false,"suffix":""},{"dropping-particle":"","family":"Mahajan","given":"Anita","non-dropping-particle":"","parse-names":false,"suffix":""},{"dropping-particle":"","family":"Rutkowski","given":"Stefan","non-dropping-particle":"","parse-names":false,"suffix":""},{"dropping-particle":"","family":"Diez","given":"Blanca","non-dropping-particle":"","parse-names":false,"suffix":""},{"dropping-particle":"","family":"Wang","given":"Xuemei","non-dropping-particle":"","parse-names":false,"suffix":""},{"dropping-particle":"","family":"Pietsch","given":"Torsten","non-dropping-particle":"","parse-names":false,"suffix":""},{"dropping-particle":"","family":"Kortmann","given":"Rolf-Dieter","non-dropping-particle":"","parse-names":false,"suffix":""},{"dropping-particle":"","family":"Paulus","given":"Werner","non-dropping-particle":"","parse-names":false,"suffix":""},{"dropping-particle":"","family":"Jeibmann","given":"Astrid","non-dropping-particle":"","parse-names":false,"suffix":""},{"dropping-particle":"","family":"Wolff","given":"Johannes E A","non-dropping-particle":"","parse-names":false,"suffix":""}],"container-title":"Journal of neuro-oncology","id":"ITEM-1","issue":"3","issued":{"date-parts":[["2009","12","20"]]},"page":"383-392","title":"Atypical choroid plexus papilloma: clinical experience in the CPT-SIOP-2000 study.","type":"article-journal","volume":"95"},"uris":["http://www.mendeley.com/documents/?uuid=ecf9ca02-9de3-34f3-80a8-dc5deb4d4aff"]}],"mendeley":{"formattedCitation":"(8)","plainTextFormattedCitation":"(8)","previouslyFormattedCitation":"(8)"},"properties":{"noteIndex":0},"schema":"https://github.com/citation-style-language/schema/raw/master/csl-citation.json"}</w:instrText>
      </w:r>
      <w:r w:rsidRPr="00E50CE1">
        <w:rPr>
          <w:rFonts w:ascii="Times New Roman" w:eastAsia="Times New Roman" w:hAnsi="Times New Roman" w:cs="Times New Roman"/>
          <w:sz w:val="24"/>
          <w:szCs w:val="24"/>
          <w:vertAlign w:val="superscript"/>
          <w:lang w:val="en-GB" w:eastAsia="en-GB"/>
        </w:rPr>
        <w:fldChar w:fldCharType="separate"/>
      </w:r>
      <w:r w:rsidRPr="00E50CE1">
        <w:rPr>
          <w:rFonts w:ascii="Times New Roman" w:eastAsia="Times New Roman" w:hAnsi="Times New Roman" w:cs="Times New Roman"/>
          <w:noProof/>
          <w:sz w:val="24"/>
          <w:szCs w:val="24"/>
          <w:vertAlign w:val="superscript"/>
          <w:lang w:val="en-GB" w:eastAsia="en-GB"/>
        </w:rPr>
        <w:t>(8)</w:t>
      </w:r>
      <w:r w:rsidRPr="00E50CE1">
        <w:rPr>
          <w:rFonts w:ascii="Times New Roman" w:eastAsia="Times New Roman" w:hAnsi="Times New Roman" w:cs="Times New Roman"/>
          <w:sz w:val="24"/>
          <w:szCs w:val="24"/>
          <w:vertAlign w:val="superscript"/>
          <w:lang w:val="en-GB" w:eastAsia="en-GB"/>
        </w:rPr>
        <w:fldChar w:fldCharType="end"/>
      </w:r>
      <w:r w:rsidRPr="00E50CE1">
        <w:rPr>
          <w:rFonts w:ascii="Times New Roman" w:eastAsia="Times New Roman" w:hAnsi="Times New Roman" w:cs="Times New Roman"/>
          <w:sz w:val="24"/>
          <w:szCs w:val="24"/>
          <w:lang w:val="en-GB" w:eastAsia="en-GB"/>
        </w:rPr>
        <w:t xml:space="preserve"> Choroid plexus </w:t>
      </w:r>
      <w:proofErr w:type="spellStart"/>
      <w:r w:rsidRPr="00E50CE1">
        <w:rPr>
          <w:rFonts w:ascii="Times New Roman" w:eastAsia="Times New Roman" w:hAnsi="Times New Roman" w:cs="Times New Roman"/>
          <w:sz w:val="24"/>
          <w:szCs w:val="24"/>
          <w:lang w:val="en-GB" w:eastAsia="en-GB"/>
        </w:rPr>
        <w:t>papillomas</w:t>
      </w:r>
      <w:proofErr w:type="spellEnd"/>
      <w:r w:rsidRPr="00E50CE1">
        <w:rPr>
          <w:rFonts w:ascii="Times New Roman" w:eastAsia="Times New Roman" w:hAnsi="Times New Roman" w:cs="Times New Roman"/>
          <w:sz w:val="24"/>
          <w:szCs w:val="24"/>
          <w:lang w:val="en-GB" w:eastAsia="en-GB"/>
        </w:rPr>
        <w:t xml:space="preserve"> typically occur in the atrium of the lateral ventricles in adults and fourth ventricle in children</w:t>
      </w:r>
      <w:r w:rsidRPr="00E50CE1">
        <w:rPr>
          <w:rFonts w:ascii="Times New Roman" w:eastAsia="Times New Roman" w:hAnsi="Times New Roman" w:cs="Times New Roman"/>
          <w:sz w:val="24"/>
          <w:szCs w:val="24"/>
          <w:vertAlign w:val="superscript"/>
          <w:lang w:val="en-GB" w:eastAsia="en-GB"/>
        </w:rPr>
        <w:fldChar w:fldCharType="begin" w:fldLock="1"/>
      </w:r>
      <w:r w:rsidRPr="00E50CE1">
        <w:rPr>
          <w:rFonts w:ascii="Times New Roman" w:eastAsia="Times New Roman" w:hAnsi="Times New Roman" w:cs="Times New Roman"/>
          <w:sz w:val="24"/>
          <w:szCs w:val="24"/>
          <w:vertAlign w:val="superscript"/>
          <w:lang w:val="en-GB" w:eastAsia="en-GB"/>
        </w:rPr>
        <w:instrText>ADDIN CSL_CITATION {"citationItems":[{"id":"ITEM-1","itemData":{"DOI":"10.1055/s-0031-1287775","PMID":"22278793","abstract":"BACKGROUND Choroid plexus papillomas of the third ventricle in newborn infants are quite rare and present a significant surgical challenge. This case report illustrates the utility of endoscopy in facilitating tumor resection. PATIENT A 6-week-old boy, born prematurely at a gestational age of 35 weeks, presented with hydrocephalus secondary to a choroid plexus papilloma in the third ventricle, extending to the aqueduct of Sylvius and into the fourth ventricle. On admission, he was found to have clinical signs of raised intracranial pressure. MRI revealed a homogeneously enhancing mass primarily in the third ventricle. The initial surgical procedure was insertion of a ventriculo-peritoneal shunt, followed by an endoscopic biopsy, which allowed the surgeons to mobilize the tumor into the right lateral ventricle. This facilitated a subsequent transcortical approach to completely remove the tumour. RESULT AND CONCLUSION The authors present a case of choroid plexus papilloma in an uncommon location with a unique surgical approach and a successful outcome with no neurological deficits. We detail our surgical approach and the complexity of approaching a tumor located in the third ventricle of an infant.","author":[{"dropping-particle":"","family":"Reddy","given":"D","non-dropping-particle":"","parse-names":false,"suffix":""},{"dropping-particle":"","family":"Gunnarsson","given":"T","non-dropping-particle":"","parse-names":false,"suffix":""},{"dropping-particle":"","family":"Scheinemann","given":"K","non-dropping-particle":"","parse-names":false,"suffix":""},{"dropping-particle":"","family":"Provias","given":"J P","non-dropping-particle":"","parse-names":false,"suffix":""},{"dropping-particle":"","family":"Singh","given":"S K","non-dropping-particle":"","parse-names":false,"suffix":""}],"container-title":"Minimally invasive neurosurgery : MIN","id":"ITEM-1","issue":"5-6","issued":{"date-parts":[["2011","10","25"]]},"page":"264-7","title":"Combined staged endoscopic and microsurgical approach of a third ventricular choroid plexus papilloma in an infant.","type":"article-journal","volume":"54"},"uris":["http://www.mendeley.com/documents/?uuid=7c3148c9-1790-323b-8e6f-0f9afa66446f"]}],"mendeley":{"formattedCitation":"(9)","plainTextFormattedCitation":"(9)","previouslyFormattedCitation":"(9)"},"properties":{"noteIndex":0},"schema":"https://github.com/citation-style-language/schema/raw/master/csl-citation.json"}</w:instrText>
      </w:r>
      <w:r w:rsidRPr="00E50CE1">
        <w:rPr>
          <w:rFonts w:ascii="Times New Roman" w:eastAsia="Times New Roman" w:hAnsi="Times New Roman" w:cs="Times New Roman"/>
          <w:sz w:val="24"/>
          <w:szCs w:val="24"/>
          <w:vertAlign w:val="superscript"/>
          <w:lang w:val="en-GB" w:eastAsia="en-GB"/>
        </w:rPr>
        <w:fldChar w:fldCharType="separate"/>
      </w:r>
      <w:r w:rsidRPr="00E50CE1">
        <w:rPr>
          <w:rFonts w:ascii="Times New Roman" w:eastAsia="Times New Roman" w:hAnsi="Times New Roman" w:cs="Times New Roman"/>
          <w:noProof/>
          <w:sz w:val="24"/>
          <w:szCs w:val="24"/>
          <w:vertAlign w:val="superscript"/>
          <w:lang w:val="en-GB" w:eastAsia="en-GB"/>
        </w:rPr>
        <w:t>(9)</w:t>
      </w:r>
      <w:r w:rsidRPr="00E50CE1">
        <w:rPr>
          <w:rFonts w:ascii="Times New Roman" w:eastAsia="Times New Roman" w:hAnsi="Times New Roman" w:cs="Times New Roman"/>
          <w:sz w:val="24"/>
          <w:szCs w:val="24"/>
          <w:vertAlign w:val="superscript"/>
          <w:lang w:val="en-GB" w:eastAsia="en-GB"/>
        </w:rPr>
        <w:fldChar w:fldCharType="end"/>
      </w:r>
      <w:r w:rsidRPr="00E50CE1">
        <w:rPr>
          <w:rFonts w:ascii="Times New Roman" w:eastAsia="Times New Roman" w:hAnsi="Times New Roman" w:cs="Times New Roman"/>
          <w:sz w:val="24"/>
          <w:szCs w:val="24"/>
          <w:lang w:val="en-GB" w:eastAsia="en-GB"/>
        </w:rPr>
        <w:t>. Most of the reported rare third ventricular tumours mimic pineal region tumours, as they are in the posterior third of the third ventricles.</w:t>
      </w:r>
      <w:r w:rsidRPr="00E50CE1">
        <w:rPr>
          <w:rFonts w:ascii="Times New Roman" w:eastAsia="Times New Roman" w:hAnsi="Times New Roman" w:cs="Times New Roman"/>
          <w:sz w:val="24"/>
          <w:szCs w:val="24"/>
          <w:vertAlign w:val="superscript"/>
          <w:lang w:val="en-GB" w:eastAsia="en-GB"/>
        </w:rPr>
        <w:fldChar w:fldCharType="begin" w:fldLock="1"/>
      </w:r>
      <w:r w:rsidRPr="00E50CE1">
        <w:rPr>
          <w:rFonts w:ascii="Times New Roman" w:eastAsia="Times New Roman" w:hAnsi="Times New Roman" w:cs="Times New Roman"/>
          <w:sz w:val="24"/>
          <w:szCs w:val="24"/>
          <w:vertAlign w:val="superscript"/>
          <w:lang w:val="en-GB" w:eastAsia="en-GB"/>
        </w:rPr>
        <w:instrText>ADDIN CSL_CITATION {"citationItems":[{"id":"ITEM-1","itemData":{"DOI":"10.1148/rg.307105131","abstract":"The clinical and imaging features of lesions of the pineal region are described and illustrated, with emphasis on radiologic-pathologic correlation.","author":[{"dropping-particle":"","family":"Smith","given":"Alice Boyd","non-dropping-particle":"","parse-names":false,"suffix":""},{"dropping-particle":"","family":"Rushing","given":"Elisabeth J.","non-dropping-particle":"","parse-names":false,"suffix":""},{"dropping-particle":"","family":"Smirniotopoulos","given":"James G.","non-dropping-particle":"","parse-names":false,"suffix":""}],"container-title":"RadioGraphics","id":"ITEM-1","issue":"7","issued":{"date-parts":[["2010","11","1"]]},"page":"2001-2020","publisher":"Radiological Society of North America","title":"From the Archives of the AFIP: Lesions of the Pineal Region: Radiologic-Pathologic Correlation","type":"article-journal","volume":"30"},"uris":["http://www.mendeley.com/documents/?uuid=361f84c5-8d1b-38b9-9557-980460d70a88"]},{"id":"ITEM-2","itemData":{"ISBN":"9781604065473","abstract":"2nd ed. Praise for the first edition: A superb overview ... each chapter is well written and concise ... provides a succinct summary of the clinical, radiological, and pathological features of each tumor ... a useful reference for the treatment of pediatric central nervous system tumors . -- &lt;STRONG&gt;Journal of Neurosurgery&lt;/STRONG&gt; Tumors of the Pediatric Central Nervous System, Second Edition , provides readers with both medical management and surgical perspectives on the clinical, pathological, and radiological diagnoses and treatment of pediatric CNS tumors. It includes complete. Tumors of the Pediatric Central Nervous System; Title Page; Copyright; Dedication; Contents; Foreword; Preface; Contributors; Section I. Current Therapeutic Strategies; 1. Pediatric Neuro-Oncology: A Historical Perspective; 2. Epidemiology; 3. Neurodiagnostic Principles; 4. Neuroradiology; 5. Neuropathology; 6. Cytogenetic/Molecular Biology: Recent Advances in the Cytogenetics and Molecular Biology of Pediatric Brain Tumors; 7. Inheritable Genetic Variations Predisposing to CNS Tumors; 8. Anesthesia Considerations; 9. Surgical Strategies and the Pursuit of Minimalism; 10. Critical Care. 11. Radiation Therapy for CNS Malignancies12. Stereotactic Radiosurgery; 13. Convection-Enhanced Delivery; 14. Chemotherapy; 15. Gene Therapy for Pediatric Brain Tumors; Section II. Tumors; Subsection A-Supratentorial; 16. Supratentorial Astrocytomas; 17. Optic/Visual Pathway Gliomas; 18. Supratentorial Ependymomas; 19. Craniopharyngiomas; 20. Supratentorial Primitive Neuroectodermal Tumors; 21. Pituitary Tumors; 22. Pineal Region Tumors; 23. Molecular Biology of Neurofibromatosis; 24. Choroid Plexus Tumors; 25. Meningiomas; 26. Oligodendrogliomas; 27. Supratentorial Gangliogliomas. 28. Infantile Malignant Brain Tumors29. Dysembryoplastic Neuroepithelial Tumors; 30. Pleomorphic Xanthoastrocytoma; 31. Uncommon Supratentorial Brain Tumors; 32. Extraneural Metastasis; Subsection B-Brainstem; 33. Brainstem Gliomas; Subsection C-Infratentorial; 34. Infratentorial Astrocytomas; 35. Medulloblastomas; 36. Atypical Teratoid/Rhabdoid Tumors; 37. Infratentorial Ependymomas; 38. Miscellaneous Infratentorial Tumors; Subsection D-Skull Base; 39. Chordomas, Esthesioneuroblastomas, and Orbital Metastases; Subsection E-Spinal Cord; 40. Intramedullary Spinal Cord Astrocytomas. 41. Spinal Ependymomas42. Gangliogliomas and Miscellaneous Spinal Cord Tumors; 43. Neurofibromatosis: A Clinical Overview; Section III.…","author":[{"dropping-particle":"","family":"Keating","given":"Robert F.","non-dropping-particle":"","parse-names":false,"suffix":""},{"dropping-particle":"","family":"Goodrich","given":"James T.","non-dropping-particle":"","parse-names":false,"suffix":""},{"dropping-particle":"","family":"Packer","given":"Roger J.","non-dropping-particle":"","parse-names":false,"suffix":""}],"edition":"Second","id":"ITEM-2","issued":{"date-parts":[["2001"]]},"number-of-pages":"549","publisher":"Thieme","publisher-place":"New York","title":"Tumors of the pediatric central nervous system","type":"book"},"uris":["http://www.mendeley.com/documents/?uuid=0c6038d1-0f32-3d79-b394-ada09da0caab"]},{"id":"ITEM-3","itemData":{"DOI":"10.1148/rg.317115083","abstract":"Developmental anomalies and acquired inflammatory, infectious, and neoplastic masses of the third ventricle are reviewed, with emphasis on creation of useful radiologic differential diagnoses.","author":[{"dropping-particle":"","family":"Glastonbury","given":"Christine M.","non-dropping-particle":"","parse-names":false,"suffix":""},{"dropping-particle":"","family":"Osborn","given":"Anne G.","non-dropping-particle":"","parse-names":false,"suffix":""},{"dropping-particle":"","family":"Salzman","given":"Karen L.","non-dropping-particle":"","parse-names":false,"suffix":""}],"container-title":"RadioGraphics","id":"ITEM-3","issue":"7","issued":{"date-parts":[["2011","11","8"]]},"page":"1889-1905","publisher":"Radiological Society of North America","title":"Masses and Malformations of the Third Ventricle: Normal Anatomic Relationships and Differential Diagnoses","type":"article-journal","volume":"31"},"uris":["http://www.mendeley.com/documents/?uuid=1325a395-eb4e-3e0c-b2a7-2721cd26173a"]}],"mendeley":{"formattedCitation":"(10–12)","plainTextFormattedCitation":"(10–12)","previouslyFormattedCitation":"(10–12)"},"properties":{"noteIndex":0},"schema":"https://github.com/citation-style-language/schema/raw/master/csl-citation.json"}</w:instrText>
      </w:r>
      <w:r w:rsidRPr="00E50CE1">
        <w:rPr>
          <w:rFonts w:ascii="Times New Roman" w:eastAsia="Times New Roman" w:hAnsi="Times New Roman" w:cs="Times New Roman"/>
          <w:sz w:val="24"/>
          <w:szCs w:val="24"/>
          <w:vertAlign w:val="superscript"/>
          <w:lang w:val="en-GB" w:eastAsia="en-GB"/>
        </w:rPr>
        <w:fldChar w:fldCharType="separate"/>
      </w:r>
      <w:r w:rsidRPr="00E50CE1">
        <w:rPr>
          <w:rFonts w:ascii="Times New Roman" w:eastAsia="Times New Roman" w:hAnsi="Times New Roman" w:cs="Times New Roman"/>
          <w:noProof/>
          <w:sz w:val="24"/>
          <w:szCs w:val="24"/>
          <w:vertAlign w:val="superscript"/>
          <w:lang w:val="en-GB" w:eastAsia="en-GB"/>
        </w:rPr>
        <w:t>(10–12)</w:t>
      </w:r>
      <w:r w:rsidRPr="00E50CE1">
        <w:rPr>
          <w:rFonts w:ascii="Times New Roman" w:eastAsia="Times New Roman" w:hAnsi="Times New Roman" w:cs="Times New Roman"/>
          <w:sz w:val="24"/>
          <w:szCs w:val="24"/>
          <w:vertAlign w:val="superscript"/>
          <w:lang w:val="en-GB" w:eastAsia="en-GB"/>
        </w:rPr>
        <w:fldChar w:fldCharType="end"/>
      </w:r>
    </w:p>
    <w:p w:rsidR="00433B6E" w:rsidRPr="00E50CE1" w:rsidRDefault="00433B6E" w:rsidP="00433B6E">
      <w:pPr>
        <w:spacing w:after="200" w:line="480" w:lineRule="auto"/>
        <w:jc w:val="both"/>
        <w:rPr>
          <w:rFonts w:ascii="Times New Roman" w:eastAsia="Times New Roman" w:hAnsi="Times New Roman" w:cs="Times New Roman"/>
          <w:sz w:val="24"/>
          <w:szCs w:val="24"/>
          <w:lang w:val="en-GB" w:eastAsia="en-GB"/>
        </w:rPr>
      </w:pPr>
      <w:r w:rsidRPr="00E50CE1">
        <w:rPr>
          <w:rFonts w:ascii="Times New Roman" w:eastAsia="Times New Roman" w:hAnsi="Times New Roman" w:cs="Times New Roman"/>
          <w:sz w:val="24"/>
          <w:szCs w:val="24"/>
          <w:lang w:val="en-GB" w:eastAsia="en-GB"/>
        </w:rPr>
        <w:t xml:space="preserve">These patients can present with symptoms dependent on the location of the tumour. When located in the lateral ventricles the patient can present with seizures, altered sensorium, and elevated intracranial pressure causing </w:t>
      </w:r>
      <w:proofErr w:type="spellStart"/>
      <w:r w:rsidRPr="00E50CE1">
        <w:rPr>
          <w:rFonts w:ascii="Times New Roman" w:eastAsia="Times New Roman" w:hAnsi="Times New Roman" w:cs="Times New Roman"/>
          <w:sz w:val="24"/>
          <w:szCs w:val="24"/>
          <w:lang w:val="en-GB" w:eastAsia="en-GB"/>
        </w:rPr>
        <w:t>papilloedema</w:t>
      </w:r>
      <w:proofErr w:type="spellEnd"/>
      <w:r w:rsidRPr="00E50CE1">
        <w:rPr>
          <w:rFonts w:ascii="Times New Roman" w:eastAsia="Times New Roman" w:hAnsi="Times New Roman" w:cs="Times New Roman"/>
          <w:sz w:val="24"/>
          <w:szCs w:val="24"/>
          <w:lang w:val="en-GB" w:eastAsia="en-GB"/>
        </w:rPr>
        <w:t xml:space="preserve"> that can culminate in visual loss.</w:t>
      </w:r>
      <w:r w:rsidRPr="00E50CE1">
        <w:rPr>
          <w:rFonts w:ascii="Times New Roman" w:eastAsia="Times New Roman" w:hAnsi="Times New Roman" w:cs="Times New Roman"/>
          <w:sz w:val="24"/>
          <w:szCs w:val="24"/>
          <w:vertAlign w:val="superscript"/>
          <w:lang w:val="en-GB" w:eastAsia="en-GB"/>
        </w:rPr>
        <w:fldChar w:fldCharType="begin" w:fldLock="1"/>
      </w:r>
      <w:r w:rsidRPr="00E50CE1">
        <w:rPr>
          <w:rFonts w:ascii="Times New Roman" w:eastAsia="Times New Roman" w:hAnsi="Times New Roman" w:cs="Times New Roman"/>
          <w:sz w:val="24"/>
          <w:szCs w:val="24"/>
          <w:vertAlign w:val="superscript"/>
          <w:lang w:val="en-GB" w:eastAsia="en-GB"/>
        </w:rPr>
        <w:instrText>ADDIN CSL_CITATION {"citationItems":[{"id":"ITEM-1","itemData":{"DOI":"10.1227/00006123-198302000-00016","PMID":"6835505","author":[{"dropping-particle":"","family":"Gradin","given":"Wesley C.","non-dropping-particle":"","parse-names":false,"suffix":""},{"dropping-particle":"","family":"Taylon","given":"Charles","non-dropping-particle":"","parse-names":false,"suffix":""},{"dropping-particle":"","family":"Fruin","given":"Alan H.","non-dropping-particle":"","parse-names":false,"suffix":""}],"container-title":"Neurosurgery","id":"ITEM-1","issue":"2","issued":{"date-parts":[["1983","2"]]},"page":"217-220","title":"Choroid Plexus Papilloma of the Third Ventricle: Case Report and Review of the Literature","type":"article-journal","volume":"12"},"uris":["http://www.mendeley.com/documents/?uuid=3a697033-bb74-3c40-929e-13e43dfc28fa"]}],"mendeley":{"formattedCitation":"(13)","plainTextFormattedCitation":"(13)","previouslyFormattedCitation":"(13)"},"properties":{"noteIndex":0},"schema":"https://github.com/citation-style-language/schema/raw/master/csl-citation.json"}</w:instrText>
      </w:r>
      <w:r w:rsidRPr="00E50CE1">
        <w:rPr>
          <w:rFonts w:ascii="Times New Roman" w:eastAsia="Times New Roman" w:hAnsi="Times New Roman" w:cs="Times New Roman"/>
          <w:sz w:val="24"/>
          <w:szCs w:val="24"/>
          <w:vertAlign w:val="superscript"/>
          <w:lang w:val="en-GB" w:eastAsia="en-GB"/>
        </w:rPr>
        <w:fldChar w:fldCharType="separate"/>
      </w:r>
      <w:r w:rsidRPr="00E50CE1">
        <w:rPr>
          <w:rFonts w:ascii="Times New Roman" w:eastAsia="Times New Roman" w:hAnsi="Times New Roman" w:cs="Times New Roman"/>
          <w:noProof/>
          <w:sz w:val="24"/>
          <w:szCs w:val="24"/>
          <w:vertAlign w:val="superscript"/>
          <w:lang w:val="en-GB" w:eastAsia="en-GB"/>
        </w:rPr>
        <w:t>(13)</w:t>
      </w:r>
      <w:r w:rsidRPr="00E50CE1">
        <w:rPr>
          <w:rFonts w:ascii="Times New Roman" w:eastAsia="Times New Roman" w:hAnsi="Times New Roman" w:cs="Times New Roman"/>
          <w:sz w:val="24"/>
          <w:szCs w:val="24"/>
          <w:vertAlign w:val="superscript"/>
          <w:lang w:val="en-GB" w:eastAsia="en-GB"/>
        </w:rPr>
        <w:fldChar w:fldCharType="end"/>
      </w:r>
      <w:r w:rsidRPr="00E50CE1">
        <w:rPr>
          <w:rFonts w:ascii="Times New Roman" w:eastAsia="Times New Roman" w:hAnsi="Times New Roman" w:cs="Times New Roman"/>
          <w:sz w:val="24"/>
          <w:szCs w:val="24"/>
          <w:lang w:val="en-GB" w:eastAsia="en-GB"/>
        </w:rPr>
        <w:t xml:space="preserve"> Third and fourth ventricular tumours can present with features of obstructive hydrocephalus, hence patients with tumours at these locations, as in our patient, can present with signs of raised intracranial pressure. Hydrocephalus may also be further worsened from overproduction of CSF particularly from bilateral choroid plexus </w:t>
      </w:r>
      <w:proofErr w:type="spellStart"/>
      <w:r w:rsidRPr="00E50CE1">
        <w:rPr>
          <w:rFonts w:ascii="Times New Roman" w:eastAsia="Times New Roman" w:hAnsi="Times New Roman" w:cs="Times New Roman"/>
          <w:sz w:val="24"/>
          <w:szCs w:val="24"/>
          <w:lang w:val="en-GB" w:eastAsia="en-GB"/>
        </w:rPr>
        <w:t>papillomas</w:t>
      </w:r>
      <w:proofErr w:type="spellEnd"/>
      <w:r w:rsidRPr="00E50CE1">
        <w:rPr>
          <w:rFonts w:ascii="Times New Roman" w:eastAsia="Times New Roman" w:hAnsi="Times New Roman" w:cs="Times New Roman"/>
          <w:sz w:val="24"/>
          <w:szCs w:val="24"/>
          <w:lang w:val="en-GB" w:eastAsia="en-GB"/>
        </w:rPr>
        <w:t>.</w:t>
      </w:r>
      <w:r w:rsidRPr="00E50CE1">
        <w:rPr>
          <w:rFonts w:ascii="Times New Roman" w:eastAsia="Times New Roman" w:hAnsi="Times New Roman" w:cs="Times New Roman"/>
          <w:sz w:val="24"/>
          <w:szCs w:val="24"/>
          <w:vertAlign w:val="superscript"/>
          <w:lang w:val="en-GB" w:eastAsia="en-GB"/>
        </w:rPr>
        <w:fldChar w:fldCharType="begin" w:fldLock="1"/>
      </w:r>
      <w:r w:rsidRPr="00E50CE1">
        <w:rPr>
          <w:rFonts w:ascii="Times New Roman" w:eastAsia="Times New Roman" w:hAnsi="Times New Roman" w:cs="Times New Roman"/>
          <w:sz w:val="24"/>
          <w:szCs w:val="24"/>
          <w:vertAlign w:val="superscript"/>
          <w:lang w:val="en-GB" w:eastAsia="en-GB"/>
        </w:rPr>
        <w:instrText>ADDIN CSL_CITATION {"citationItems":[{"id":"ITEM-1","itemData":{"DOI":"10.1007/s00381-003-0889-8","PMID":"14986042","abstract":"CASE REPORT A 10-month-old boy, with congenital deafness and blindness associated with chromosomal deletion [46XY, del(13)(q32)], presented with intractable ascites 9 months after ventriculo-peritoneal shunting for congenital hydrocephalus. Revision of the ventriculo-atrial shunt resulted in shunt failure 1 month later. External ventricular drainage revealed cerebrospinal fluid (CSF) overproduction (2,000 ml/day). Magnetic resonance imaging showed marked lobular enlargement of the bilateral choroid plexuses extending from the trigone to the body and inferior horn of the lateral ventricle. Multi-staged resection was performed via bilateral temporo-occipital transcortical approaches, and CSF production significantly decreased to 100 ml/day postoperatively. Histological assessment of the villous surface suggested villous hyperplasia of the choroid plexus and thorough evaluation including the proximal portion of the lobular lesion near the attachment revealed choroid plexus papilloma. He was discharged after ventriculo-peritoneal shunting without additional neurological deficits except for hyperreflexia of the left extremities. CONCLUSION CSF overproduction caused by bilateral choroid plexus papillomas can result in hydrocephalus. Radical resection of the bilateral ventricular lesions should be considered for this entity. Thorough evaluation of the surgical specimen is recommended because histological examination of only the lobular surface of the choroid plexus lesion may fail to identify choroid plexus neoplasm.","author":[{"dropping-particle":"","family":"Fujimura","given":"Miki","non-dropping-particle":"","parse-names":false,"suffix":""},{"dropping-particle":"","family":"Onuma","given":"Takehide","non-dropping-particle":"","parse-names":false,"suffix":""},{"dropping-particle":"","family":"Kameyama","given":"Motonobu","non-dropping-particle":"","parse-names":false,"suffix":""},{"dropping-particle":"","family":"Motohashi","given":"Osamu","non-dropping-particle":"","parse-names":false,"suffix":""},{"dropping-particle":"","family":"Kon","given":"Hiroyuki","non-dropping-particle":"","parse-names":false,"suffix":""},{"dropping-particle":"","family":"Yamamoto","given":"Katsuya","non-dropping-particle":"","parse-names":false,"suffix":""},{"dropping-particle":"","family":"Ishii","given":"Kiyoshi","non-dropping-particle":"","parse-names":false,"suffix":""},{"dropping-particle":"","family":"Tominaga","given":"Teiji","non-dropping-particle":"","parse-names":false,"suffix":""}],"container-title":"Child's Nervous System","id":"ITEM-1","issue":"7","issued":{"date-parts":[["2004","7","21"]]},"page":"485-8","title":"Hydrocephalus due to cerebrospinal fluid overproduction by bilateral choroid plexus papillomas","type":"article-journal","volume":"20"},"uris":["http://www.mendeley.com/documents/?uuid=b05754b4-3eb8-3e19-800d-1a31d39f1e1e"]},{"id":"ITEM-2","itemData":{"DOI":"10.3171/2009.10.PEDS08454","PMID":"20367337","abstract":"Cerebrospinal fluid overproduction resulting in communicating hydrocephalus is observed in patients who have choroid plexus papilloma or choroid plexus carcinoma. Less often, patients with these conditions have diffuse villous hyperplasia. Prior studies report CSF production greater than 3 L per day in these patients. These patients are treated with CSF shunting or by either unilateral choroid plexectomy or staged bilateral choroid plexectomy. The authors present a patient who had a number of congenital anomalies and a karyotype that revealed balanced translocations, 5 to 7 and 9 to 11. She presented with hydrocephalus and had CSF production of 5 L per day, greater output than ever previously reported. She was treated with a single-stage bilateral choroid plexectomy. Histopathological analysis revealed a bilateral choroid plexus papilloma. Postoperatively, the patient responded well clinically and showed radiographic improvement of her hydrocephalus. Bilateral choroid plexus papilloma has been reported in the literature as a cause for neonatal and congenital hydrocephalus. It can result in high CSF output and can be successfully treated with a single-stage bilateral choroid plexectomy. Further studies are ongoing to identify genes involved in embryogenesis of the choroid plexus.","author":[{"dropping-particle":"","family":"Nimjee","given":"Shahid M","non-dropping-particle":"","parse-names":false,"suffix":""},{"dropping-particle":"","family":"Powers","given":"Ciaran J","non-dropping-particle":"","parse-names":false,"suffix":""},{"dropping-particle":"","family":"McLendon","given":"Roger E","non-dropping-particle":"","parse-names":false,"suffix":""},{"dropping-particle":"","family":"Grant","given":"Gerald A","non-dropping-particle":"","parse-names":false,"suffix":""},{"dropping-particle":"","family":"Fuchs","given":"Herbert E","non-dropping-particle":"","parse-names":false,"suffix":""}],"container-title":"Journal of neurosurgery. Pediatrics","id":"ITEM-2","issue":"4","issued":{"date-parts":[["2010","4"]]},"page":"342-5","title":"Single-stage bilateral choroid plexectomy for choroid plexus papilloma in a patient presenting with high cerebrospinal fluid output.","type":"article-journal","volume":"5"},"uris":["http://www.mendeley.com/documents/?uuid=76938333-dbcf-388c-b414-60be44107e4c"]}],"mendeley":{"formattedCitation":"(14,15)","plainTextFormattedCitation":"(14,15)","previouslyFormattedCitation":"(14,15)"},"properties":{"noteIndex":0},"schema":"https://github.com/citation-style-language/schema/raw/master/csl-citation.json"}</w:instrText>
      </w:r>
      <w:r w:rsidRPr="00E50CE1">
        <w:rPr>
          <w:rFonts w:ascii="Times New Roman" w:eastAsia="Times New Roman" w:hAnsi="Times New Roman" w:cs="Times New Roman"/>
          <w:sz w:val="24"/>
          <w:szCs w:val="24"/>
          <w:vertAlign w:val="superscript"/>
          <w:lang w:val="en-GB" w:eastAsia="en-GB"/>
        </w:rPr>
        <w:fldChar w:fldCharType="separate"/>
      </w:r>
      <w:r w:rsidRPr="00E50CE1">
        <w:rPr>
          <w:rFonts w:ascii="Times New Roman" w:eastAsia="Times New Roman" w:hAnsi="Times New Roman" w:cs="Times New Roman"/>
          <w:noProof/>
          <w:sz w:val="24"/>
          <w:szCs w:val="24"/>
          <w:vertAlign w:val="superscript"/>
          <w:lang w:val="en-GB" w:eastAsia="en-GB"/>
        </w:rPr>
        <w:t>(14,15)</w:t>
      </w:r>
      <w:r w:rsidRPr="00E50CE1">
        <w:rPr>
          <w:rFonts w:ascii="Times New Roman" w:eastAsia="Times New Roman" w:hAnsi="Times New Roman" w:cs="Times New Roman"/>
          <w:sz w:val="24"/>
          <w:szCs w:val="24"/>
          <w:vertAlign w:val="superscript"/>
          <w:lang w:val="en-GB" w:eastAsia="en-GB"/>
        </w:rPr>
        <w:fldChar w:fldCharType="end"/>
      </w:r>
      <w:r w:rsidRPr="00E50CE1">
        <w:rPr>
          <w:rFonts w:ascii="Times New Roman" w:eastAsia="Times New Roman" w:hAnsi="Times New Roman" w:cs="Times New Roman"/>
          <w:sz w:val="24"/>
          <w:szCs w:val="24"/>
          <w:lang w:val="en-GB" w:eastAsia="en-GB"/>
        </w:rPr>
        <w:t xml:space="preserve"> Clinical presentation may also include seizures, focal neurologic deficits, and </w:t>
      </w:r>
      <w:proofErr w:type="spellStart"/>
      <w:r w:rsidRPr="00E50CE1">
        <w:rPr>
          <w:rFonts w:ascii="Times New Roman" w:eastAsia="Times New Roman" w:hAnsi="Times New Roman" w:cs="Times New Roman"/>
          <w:sz w:val="24"/>
          <w:szCs w:val="24"/>
          <w:lang w:val="en-GB" w:eastAsia="en-GB"/>
        </w:rPr>
        <w:t>endocrinopathies</w:t>
      </w:r>
      <w:proofErr w:type="spellEnd"/>
      <w:r w:rsidRPr="00E50CE1">
        <w:rPr>
          <w:rFonts w:ascii="Times New Roman" w:eastAsia="Times New Roman" w:hAnsi="Times New Roman" w:cs="Times New Roman"/>
          <w:sz w:val="24"/>
          <w:szCs w:val="24"/>
          <w:lang w:val="en-GB" w:eastAsia="en-GB"/>
        </w:rPr>
        <w:t xml:space="preserve">. Hydrocephalus, causing progressive increase in head size and symptoms of raised intracranial pressure will often prompt the need to have neuroimaging evaluation of the patients. In developing countries </w:t>
      </w:r>
      <w:r w:rsidRPr="00E50CE1">
        <w:rPr>
          <w:rFonts w:ascii="Times New Roman" w:eastAsia="Times New Roman" w:hAnsi="Times New Roman" w:cs="Times New Roman"/>
          <w:sz w:val="24"/>
          <w:szCs w:val="24"/>
          <w:lang w:val="en-GB" w:eastAsia="en-GB"/>
        </w:rPr>
        <w:lastRenderedPageBreak/>
        <w:t xml:space="preserve">within the tropics, meningitis may be considered a cause of the hydrocephalus, especially with a history of febrile illness, seizures, and spasticity thus a potential for delayed diagnosis as observed in our index case. Therefore, though these tumours are rare, there should be a high index of suspicion. </w:t>
      </w:r>
    </w:p>
    <w:p w:rsidR="00433B6E" w:rsidRPr="00E50CE1" w:rsidRDefault="00433B6E" w:rsidP="00433B6E">
      <w:pPr>
        <w:spacing w:after="200" w:line="480" w:lineRule="auto"/>
        <w:jc w:val="both"/>
        <w:rPr>
          <w:rFonts w:ascii="Times New Roman" w:eastAsia="Times New Roman" w:hAnsi="Times New Roman" w:cs="Times New Roman"/>
          <w:sz w:val="24"/>
          <w:szCs w:val="24"/>
          <w:lang w:val="en-GB" w:eastAsia="en-GB"/>
        </w:rPr>
      </w:pPr>
      <w:r w:rsidRPr="00E50CE1">
        <w:rPr>
          <w:rFonts w:ascii="Times New Roman" w:eastAsia="Times New Roman" w:hAnsi="Times New Roman" w:cs="Times New Roman"/>
          <w:sz w:val="24"/>
          <w:szCs w:val="24"/>
          <w:lang w:val="en-GB" w:eastAsia="en-GB"/>
        </w:rPr>
        <w:t>The clinical course of the symptoms for choroid plexus tumours can also vary depending on the histological subtype with the choroid plexus papilloma having a course of 4 months, atypical choroid plexus papilloma having a course of 2 months and choroid plexus carcinoma having a course of 1 month. Irrespective of the location of the tumour all the three histological grades of choroid plexus tumours will present with significant hydrocephalus.</w:t>
      </w:r>
      <w:r w:rsidRPr="00E50CE1">
        <w:rPr>
          <w:rFonts w:ascii="Times New Roman" w:eastAsia="Times New Roman" w:hAnsi="Times New Roman" w:cs="Times New Roman"/>
          <w:sz w:val="24"/>
          <w:szCs w:val="24"/>
          <w:vertAlign w:val="superscript"/>
          <w:lang w:val="en-GB" w:eastAsia="en-GB"/>
        </w:rPr>
        <w:fldChar w:fldCharType="begin" w:fldLock="1"/>
      </w:r>
      <w:r w:rsidRPr="00E50CE1">
        <w:rPr>
          <w:rFonts w:ascii="Times New Roman" w:eastAsia="Times New Roman" w:hAnsi="Times New Roman" w:cs="Times New Roman"/>
          <w:sz w:val="24"/>
          <w:szCs w:val="24"/>
          <w:vertAlign w:val="superscript"/>
          <w:lang w:val="en-GB" w:eastAsia="en-GB"/>
        </w:rPr>
        <w:instrText xml:space="preserve">ADDIN CSL_CITATION {"citationItems":[{"id":"ITEM-1","itemData":{"DOI":"10.1007/s00701-019-03832-5","PMID":"30783805","abstract":"BACKGROUND Choroid plexus tumors are rare entities. Resection is the mainstay of treatment in grade I and grade II tumors and adjuvant treatment is usually reserved for the less frequent choroid plexus carcinoma (CPC). Outcome is not only related to their histological grade but also dependent on their size, location, and presence of often multifactorial disturbances of cerebrospinal fluid (CSF) circulation. METHODS Retrospective analysis of 36 consecutive patients operated on a choroid plexus tumor at our institution in a mixed pediatric and adult population between 1991 and 2016. RESULTS Twenty-one CPP, 11 atypical choroid plexus papillomas (aCPP), and four CPC were encountered in 17 children and 19 adults. Regardless of histological grading, gross-total resection (GTR) could be achieved in 91.7% of patients. Tumor recurrence (25.0%) was significantly associated with histological grading (p = 0.004), subtotal resection (p = 0.002), and intraoperatively evident zones of tumor infiltration (p = 0.001). Adjuvant therapy was performed in 19.4% of patients, mainly diagnosed with CPC. The 5-year overall survival rate was 95.2% for CPP and 100.0% for both aCPP and CPC. Survival was related to the extent of resection (p = 0.001), tumor progression (p = 0.04), and the presence of leptomeningeal metastases (p = 0.002). Even after resection, either ventricular or subdural shunting was required in 25.0% of patients. CONCLUSIONS We could confirm that GTR is crucial for treatment of choroid plexus tumors. Parenchymal tumor infiltration as detected intraoperatively was associated with the extent of resection and not limited to CPC. CSF disturbances mandating treatment may persist after resection.","author":[{"dropping-particle":"","family":"Hosmann","given":"Arthur","non-dropping-particle":"","parse-names":false,"suffix":""},{"dropping-particle":"","family":"Hinker","given":"Felix","non-dropping-particle":"","parse-names":false,"suffix":""},{"dropping-particle":"","family":"Dorfer","given":"Christian","non-dropping-particle":"","parse-names":false,"suffix":""},{"dropping-particle":"","family":"Slavc","given":"Irene","non-dropping-particle":"","parse-names":false,"suffix":""},{"dropping-particle":"","family":"Haberler","given":"Christine","non-dropping-particle":"","parse-names":false,"suffix":""},{"dropping-particle":"","family":"Dieckmann","given":"Karin","non-dropping-particle":"","parse-names":false,"suffix":""},{"dropping-particle":"","family":"Knosp","given":"Engelbert","non-dropping-particle":"","parse-names":false,"suffix":""},{"dropping-particle":"","family":"Czech","given":"Thomas","non-dropping-particle":"","parse-names":false,"suffix":""}],"container-title":"Acta neurochirurgica","id":"ITEM-1","issue":"4","issued":{"date-parts":[["2019","4","19"]]},"page":"745-754","title":"Management of choroid plexus tumors-an institutional experience.","type":"article-journal","volume":"161"},"uris":["http://www.mendeley.com/documents/?uuid=18eca838-d421-3aa9-a53a-a118c65e30cf"]},{"id":"ITEM-2","itemData":{"DOI":"10.4103/0366-6999.247195","PMID":"30539906","abstract":"Background Decision-making concerning the treatment of choroid plexus tumor (CPT) in pediatric patients remains a topic of considerable debate. The aim of this work was to describe clinical features and prognostic risk factors of CPT in the pediatric population and to provide theoretical opinions regarding clinical decisions for CPT. Methods The data of 96 patients with CPT and younger than 14 years were retrospectively analyzed. Clinical characteristics such as pathological type of CPTs, rate and severity of hydrocephalus, treatment and outcome, and recurrence were investigated. For categorical variables, the Pearson's Chi-square test was performed. The Mann-Whitney U-test was used for comparisons between nonnormally distributed parameters. Log-rank test was used for progression-free survival (PFS). Results The study included 70 choroid plexus papilloma (CPP) cases, 17 atypical choroid plexus papilloma (aCPP) cases, and 9 choroid plexus carcinoma (CPC) cases. Compared with patients with CPP or aCPP, patients with CPC had a shorter disease course (median: CPP, 4 months; aCPP, 2 months; CPC, 1 month; H: 23.5, P &lt; 0.001), higher rate of acute hydrocephalus (CPP, 27.1%; aCPP, 52.9%; CPC, 77.8%; χ2 = 10.9, P &lt; 0.05), and lower incidence of cure rate (CPP, 85.7%; aCPP, 70.5%; CPC, 33.3%; χ2 = 13.5, P &lt; 0.05). The severity of hydrocephalus with tumor in the lateral or third ventricle was significantly higher than that with tumors in the fourth ventricle (severe hydrocephalus: lateral ventricle, 51.7%; third ventricle, 47.0%; fourth ventricle, 11.1%; χ2 = 26.0, P &lt; 0.001). Patients with gross total surgical resection had no better PFS than those with partial resection because of the use of adjuvant therapy in the latter (χ2 = 4.0, P &gt; 0.05). Patients with CPC experienced shorter time for recurrence than those with CPP or aCPP (χ2 = 40.1, P &lt; 0.0001). Conclusions Our results indicated that CPP in the fourth ventricle could trigger serious clinical symptoms at an early stage, requiring early intervention. Adjuvant treatment might be necessary for patients with partially resected CPP, aCPP, and CPC to achieve a favorable outcome. </w:instrText>
      </w:r>
      <w:r w:rsidRPr="00E50CE1">
        <w:rPr>
          <w:rFonts w:ascii="MS Gothic" w:eastAsia="MS Gothic" w:hAnsi="MS Gothic" w:cs="MS Gothic" w:hint="eastAsia"/>
          <w:sz w:val="24"/>
          <w:szCs w:val="24"/>
          <w:vertAlign w:val="superscript"/>
          <w:lang w:val="en-GB" w:eastAsia="en-GB"/>
        </w:rPr>
        <w:instrText>小儿脉</w:instrText>
      </w:r>
      <w:r w:rsidRPr="00E50CE1">
        <w:rPr>
          <w:rFonts w:ascii="Microsoft JhengHei" w:eastAsia="Microsoft JhengHei" w:hAnsi="Microsoft JhengHei" w:cs="Microsoft JhengHei" w:hint="eastAsia"/>
          <w:sz w:val="24"/>
          <w:szCs w:val="24"/>
          <w:vertAlign w:val="superscript"/>
          <w:lang w:val="en-GB" w:eastAsia="en-GB"/>
        </w:rPr>
        <w:instrText>络丛肿瘤的临床特征及预后危险因素的相关研究摘要背景：目前针对小儿脉络丛肿瘤的诊疗决策仍具争议。本研究通过探讨小儿脉络丛肿瘤的临床资料，为小儿脉络丛肿瘤的诊疗决策提供理论基础。</w:instrText>
      </w:r>
      <w:r w:rsidRPr="00E50CE1">
        <w:rPr>
          <w:rFonts w:ascii="Times New Roman" w:eastAsia="Times New Roman" w:hAnsi="Times New Roman" w:cs="Times New Roman"/>
          <w:sz w:val="24"/>
          <w:szCs w:val="24"/>
          <w:vertAlign w:val="superscript"/>
          <w:lang w:val="en-GB" w:eastAsia="en-GB"/>
        </w:rPr>
        <w:instrText xml:space="preserve"> </w:instrText>
      </w:r>
      <w:r w:rsidRPr="00E50CE1">
        <w:rPr>
          <w:rFonts w:ascii="MS Gothic" w:eastAsia="MS Gothic" w:hAnsi="MS Gothic" w:cs="MS Gothic" w:hint="eastAsia"/>
          <w:sz w:val="24"/>
          <w:szCs w:val="24"/>
          <w:vertAlign w:val="superscript"/>
          <w:lang w:val="en-GB" w:eastAsia="en-GB"/>
        </w:rPr>
        <w:instrText>方法：</w:instrText>
      </w:r>
      <w:r w:rsidRPr="00E50CE1">
        <w:rPr>
          <w:rFonts w:ascii="Microsoft JhengHei" w:eastAsia="Microsoft JhengHei" w:hAnsi="Microsoft JhengHei" w:cs="Microsoft JhengHei" w:hint="eastAsia"/>
          <w:sz w:val="24"/>
          <w:szCs w:val="24"/>
          <w:vertAlign w:val="superscript"/>
          <w:lang w:val="en-GB" w:eastAsia="en-GB"/>
        </w:rPr>
        <w:instrText>对本中心</w:instrText>
      </w:r>
      <w:r w:rsidRPr="00E50CE1">
        <w:rPr>
          <w:rFonts w:ascii="Times New Roman" w:eastAsia="Times New Roman" w:hAnsi="Times New Roman" w:cs="Times New Roman"/>
          <w:sz w:val="24"/>
          <w:szCs w:val="24"/>
          <w:vertAlign w:val="superscript"/>
          <w:lang w:val="en-GB" w:eastAsia="en-GB"/>
        </w:rPr>
        <w:instrText>96</w:instrText>
      </w:r>
      <w:r w:rsidRPr="00E50CE1">
        <w:rPr>
          <w:rFonts w:ascii="MS Gothic" w:eastAsia="MS Gothic" w:hAnsi="MS Gothic" w:cs="MS Gothic" w:hint="eastAsia"/>
          <w:sz w:val="24"/>
          <w:szCs w:val="24"/>
          <w:vertAlign w:val="superscript"/>
          <w:lang w:val="en-GB" w:eastAsia="en-GB"/>
        </w:rPr>
        <w:instrText>例小于</w:instrText>
      </w:r>
      <w:r w:rsidRPr="00E50CE1">
        <w:rPr>
          <w:rFonts w:ascii="Times New Roman" w:eastAsia="Times New Roman" w:hAnsi="Times New Roman" w:cs="Times New Roman"/>
          <w:sz w:val="24"/>
          <w:szCs w:val="24"/>
          <w:vertAlign w:val="superscript"/>
          <w:lang w:val="en-GB" w:eastAsia="en-GB"/>
        </w:rPr>
        <w:instrText>14</w:instrText>
      </w:r>
      <w:r w:rsidRPr="00E50CE1">
        <w:rPr>
          <w:rFonts w:ascii="MS Gothic" w:eastAsia="MS Gothic" w:hAnsi="MS Gothic" w:cs="MS Gothic" w:hint="eastAsia"/>
          <w:sz w:val="24"/>
          <w:szCs w:val="24"/>
          <w:vertAlign w:val="superscript"/>
          <w:lang w:val="en-GB" w:eastAsia="en-GB"/>
        </w:rPr>
        <w:instrText>周</w:instrText>
      </w:r>
      <w:r w:rsidRPr="00E50CE1">
        <w:rPr>
          <w:rFonts w:ascii="Microsoft JhengHei" w:eastAsia="Microsoft JhengHei" w:hAnsi="Microsoft JhengHei" w:cs="Microsoft JhengHei" w:hint="eastAsia"/>
          <w:sz w:val="24"/>
          <w:szCs w:val="24"/>
          <w:vertAlign w:val="superscript"/>
          <w:lang w:val="en-GB" w:eastAsia="en-GB"/>
        </w:rPr>
        <w:instrText>岁的脉络丛乳头状肿瘤患者的临床资料进行回顾性分析。本研究纳入包括脉络丛乳头状瘤患者的病理分型、脑积水的发病率以及严重程度、治疗方式、预后以及复发情况在内的临床资料进行统计分析。</w:instrText>
      </w:r>
      <w:r w:rsidRPr="00E50CE1">
        <w:rPr>
          <w:rFonts w:ascii="Times New Roman" w:eastAsia="Times New Roman" w:hAnsi="Times New Roman" w:cs="Times New Roman"/>
          <w:sz w:val="24"/>
          <w:szCs w:val="24"/>
          <w:vertAlign w:val="superscript"/>
          <w:lang w:val="en-GB" w:eastAsia="en-GB"/>
        </w:rPr>
        <w:instrText xml:space="preserve"> </w:instrText>
      </w:r>
      <w:r w:rsidRPr="00E50CE1">
        <w:rPr>
          <w:rFonts w:ascii="MS Gothic" w:eastAsia="MS Gothic" w:hAnsi="MS Gothic" w:cs="MS Gothic" w:hint="eastAsia"/>
          <w:sz w:val="24"/>
          <w:szCs w:val="24"/>
          <w:vertAlign w:val="superscript"/>
          <w:lang w:val="en-GB" w:eastAsia="en-GB"/>
        </w:rPr>
        <w:instrText>皮</w:instrText>
      </w:r>
      <w:r w:rsidRPr="00E50CE1">
        <w:rPr>
          <w:rFonts w:ascii="Malgun Gothic" w:eastAsia="Malgun Gothic" w:hAnsi="Malgun Gothic" w:cs="Malgun Gothic" w:hint="eastAsia"/>
          <w:sz w:val="24"/>
          <w:szCs w:val="24"/>
          <w:vertAlign w:val="superscript"/>
          <w:lang w:val="en-GB" w:eastAsia="en-GB"/>
        </w:rPr>
        <w:instrText>尔</w:instrText>
      </w:r>
      <w:r w:rsidRPr="00E50CE1">
        <w:rPr>
          <w:rFonts w:ascii="Microsoft JhengHei" w:eastAsia="Microsoft JhengHei" w:hAnsi="Microsoft JhengHei" w:cs="Microsoft JhengHei" w:hint="eastAsia"/>
          <w:sz w:val="24"/>
          <w:szCs w:val="24"/>
          <w:vertAlign w:val="superscript"/>
          <w:lang w:val="en-GB" w:eastAsia="en-GB"/>
        </w:rPr>
        <w:instrText>逊卡方检验用于分类数据。曼</w:instrText>
      </w:r>
      <w:r w:rsidRPr="00E50CE1">
        <w:rPr>
          <w:rFonts w:ascii="Times New Roman" w:eastAsia="Times New Roman" w:hAnsi="Times New Roman" w:cs="Times New Roman"/>
          <w:sz w:val="24"/>
          <w:szCs w:val="24"/>
          <w:vertAlign w:val="superscript"/>
          <w:lang w:val="en-GB" w:eastAsia="en-GB"/>
        </w:rPr>
        <w:instrText>-</w:instrText>
      </w:r>
      <w:r w:rsidRPr="00E50CE1">
        <w:rPr>
          <w:rFonts w:ascii="MS Gothic" w:eastAsia="MS Gothic" w:hAnsi="MS Gothic" w:cs="MS Gothic" w:hint="eastAsia"/>
          <w:sz w:val="24"/>
          <w:szCs w:val="24"/>
          <w:vertAlign w:val="superscript"/>
          <w:lang w:val="en-GB" w:eastAsia="en-GB"/>
        </w:rPr>
        <w:instrText>惠特尼秩和</w:instrText>
      </w:r>
      <w:r w:rsidRPr="00E50CE1">
        <w:rPr>
          <w:rFonts w:ascii="Microsoft JhengHei" w:eastAsia="Microsoft JhengHei" w:hAnsi="Microsoft JhengHei" w:cs="Microsoft JhengHei" w:hint="eastAsia"/>
          <w:sz w:val="24"/>
          <w:szCs w:val="24"/>
          <w:vertAlign w:val="superscript"/>
          <w:lang w:val="en-GB" w:eastAsia="en-GB"/>
        </w:rPr>
        <w:instrText>检验用于非正态分布的数据。时序检验用于无进展生存曲线。</w:instrText>
      </w:r>
      <w:r w:rsidRPr="00E50CE1">
        <w:rPr>
          <w:rFonts w:ascii="Times New Roman" w:eastAsia="Times New Roman" w:hAnsi="Times New Roman" w:cs="Times New Roman"/>
          <w:sz w:val="24"/>
          <w:szCs w:val="24"/>
          <w:vertAlign w:val="superscript"/>
          <w:lang w:val="en-GB" w:eastAsia="en-GB"/>
        </w:rPr>
        <w:instrText xml:space="preserve"> </w:instrText>
      </w:r>
      <w:r w:rsidRPr="00E50CE1">
        <w:rPr>
          <w:rFonts w:ascii="Microsoft JhengHei" w:eastAsia="Microsoft JhengHei" w:hAnsi="Microsoft JhengHei" w:cs="Microsoft JhengHei" w:hint="eastAsia"/>
          <w:sz w:val="24"/>
          <w:szCs w:val="24"/>
          <w:vertAlign w:val="superscript"/>
          <w:lang w:val="en-GB" w:eastAsia="en-GB"/>
        </w:rPr>
        <w:instrText>结果：本</w:instrText>
      </w:r>
      <w:r w:rsidRPr="00E50CE1">
        <w:rPr>
          <w:rFonts w:ascii="MS Gothic" w:eastAsia="MS Gothic" w:hAnsi="MS Gothic" w:cs="MS Gothic" w:hint="eastAsia"/>
          <w:sz w:val="24"/>
          <w:szCs w:val="24"/>
          <w:vertAlign w:val="superscript"/>
          <w:lang w:val="en-GB" w:eastAsia="en-GB"/>
        </w:rPr>
        <w:instrText>研究共入</w:instrText>
      </w:r>
      <w:r w:rsidRPr="00E50CE1">
        <w:rPr>
          <w:rFonts w:ascii="Microsoft JhengHei" w:eastAsia="Microsoft JhengHei" w:hAnsi="Microsoft JhengHei" w:cs="Microsoft JhengHei" w:hint="eastAsia"/>
          <w:sz w:val="24"/>
          <w:szCs w:val="24"/>
          <w:vertAlign w:val="superscript"/>
          <w:lang w:val="en-GB" w:eastAsia="en-GB"/>
        </w:rPr>
        <w:instrText>组</w:instrText>
      </w:r>
      <w:r w:rsidRPr="00E50CE1">
        <w:rPr>
          <w:rFonts w:ascii="Times New Roman" w:eastAsia="Times New Roman" w:hAnsi="Times New Roman" w:cs="Times New Roman"/>
          <w:sz w:val="24"/>
          <w:szCs w:val="24"/>
          <w:vertAlign w:val="superscript"/>
          <w:lang w:val="en-GB" w:eastAsia="en-GB"/>
        </w:rPr>
        <w:instrText>70</w:instrText>
      </w:r>
      <w:r w:rsidRPr="00E50CE1">
        <w:rPr>
          <w:rFonts w:ascii="MS Gothic" w:eastAsia="MS Gothic" w:hAnsi="MS Gothic" w:cs="MS Gothic" w:hint="eastAsia"/>
          <w:sz w:val="24"/>
          <w:szCs w:val="24"/>
          <w:vertAlign w:val="superscript"/>
          <w:lang w:val="en-GB" w:eastAsia="en-GB"/>
        </w:rPr>
        <w:instrText>例脉</w:instrText>
      </w:r>
      <w:r w:rsidRPr="00E50CE1">
        <w:rPr>
          <w:rFonts w:ascii="Microsoft JhengHei" w:eastAsia="Microsoft JhengHei" w:hAnsi="Microsoft JhengHei" w:cs="Microsoft JhengHei" w:hint="eastAsia"/>
          <w:sz w:val="24"/>
          <w:szCs w:val="24"/>
          <w:vertAlign w:val="superscript"/>
          <w:lang w:val="en-GB" w:eastAsia="en-GB"/>
        </w:rPr>
        <w:instrText>络丛乳头状瘤患者、</w:instrText>
      </w:r>
      <w:r w:rsidRPr="00E50CE1">
        <w:rPr>
          <w:rFonts w:ascii="Times New Roman" w:eastAsia="Times New Roman" w:hAnsi="Times New Roman" w:cs="Times New Roman"/>
          <w:sz w:val="24"/>
          <w:szCs w:val="24"/>
          <w:vertAlign w:val="superscript"/>
          <w:lang w:val="en-GB" w:eastAsia="en-GB"/>
        </w:rPr>
        <w:instrText>17</w:instrText>
      </w:r>
      <w:r w:rsidRPr="00E50CE1">
        <w:rPr>
          <w:rFonts w:ascii="MS Gothic" w:eastAsia="MS Gothic" w:hAnsi="MS Gothic" w:cs="MS Gothic" w:hint="eastAsia"/>
          <w:sz w:val="24"/>
          <w:szCs w:val="24"/>
          <w:vertAlign w:val="superscript"/>
          <w:lang w:val="en-GB" w:eastAsia="en-GB"/>
        </w:rPr>
        <w:instrText>例非典型脉</w:instrText>
      </w:r>
      <w:r w:rsidRPr="00E50CE1">
        <w:rPr>
          <w:rFonts w:ascii="Microsoft JhengHei" w:eastAsia="Microsoft JhengHei" w:hAnsi="Microsoft JhengHei" w:cs="Microsoft JhengHei" w:hint="eastAsia"/>
          <w:sz w:val="24"/>
          <w:szCs w:val="24"/>
          <w:vertAlign w:val="superscript"/>
          <w:lang w:val="en-GB" w:eastAsia="en-GB"/>
        </w:rPr>
        <w:instrText>络丛乳头状瘤患者和</w:instrText>
      </w:r>
      <w:r w:rsidRPr="00E50CE1">
        <w:rPr>
          <w:rFonts w:ascii="Times New Roman" w:eastAsia="Times New Roman" w:hAnsi="Times New Roman" w:cs="Times New Roman"/>
          <w:sz w:val="24"/>
          <w:szCs w:val="24"/>
          <w:vertAlign w:val="superscript"/>
          <w:lang w:val="en-GB" w:eastAsia="en-GB"/>
        </w:rPr>
        <w:instrText>9</w:instrText>
      </w:r>
      <w:r w:rsidRPr="00E50CE1">
        <w:rPr>
          <w:rFonts w:ascii="MS Gothic" w:eastAsia="MS Gothic" w:hAnsi="MS Gothic" w:cs="MS Gothic" w:hint="eastAsia"/>
          <w:sz w:val="24"/>
          <w:szCs w:val="24"/>
          <w:vertAlign w:val="superscript"/>
          <w:lang w:val="en-GB" w:eastAsia="en-GB"/>
        </w:rPr>
        <w:instrText>例脉</w:instrText>
      </w:r>
      <w:r w:rsidRPr="00E50CE1">
        <w:rPr>
          <w:rFonts w:ascii="Microsoft JhengHei" w:eastAsia="Microsoft JhengHei" w:hAnsi="Microsoft JhengHei" w:cs="Microsoft JhengHei" w:hint="eastAsia"/>
          <w:sz w:val="24"/>
          <w:szCs w:val="24"/>
          <w:vertAlign w:val="superscript"/>
          <w:lang w:val="en-GB" w:eastAsia="en-GB"/>
        </w:rPr>
        <w:instrText>络丛乳头状癌患者。脉络丛乳头状癌患者较其他几种类型的患者病程更短</w:instrText>
      </w:r>
      <w:r w:rsidRPr="00E50CE1">
        <w:rPr>
          <w:rFonts w:ascii="Times New Roman" w:eastAsia="Times New Roman" w:hAnsi="Times New Roman" w:cs="Times New Roman"/>
          <w:sz w:val="24"/>
          <w:szCs w:val="24"/>
          <w:vertAlign w:val="superscript"/>
          <w:lang w:val="en-GB" w:eastAsia="en-GB"/>
        </w:rPr>
        <w:instrText>(</w:instrText>
      </w:r>
      <w:r w:rsidRPr="00E50CE1">
        <w:rPr>
          <w:rFonts w:ascii="MS Gothic" w:eastAsia="MS Gothic" w:hAnsi="MS Gothic" w:cs="MS Gothic" w:hint="eastAsia"/>
          <w:sz w:val="24"/>
          <w:szCs w:val="24"/>
          <w:vertAlign w:val="superscript"/>
          <w:lang w:val="en-GB" w:eastAsia="en-GB"/>
        </w:rPr>
        <w:instrText>中位数</w:instrText>
      </w:r>
      <w:r w:rsidRPr="00E50CE1">
        <w:rPr>
          <w:rFonts w:ascii="Times New Roman" w:eastAsia="Times New Roman" w:hAnsi="Times New Roman" w:cs="Times New Roman"/>
          <w:sz w:val="24"/>
          <w:szCs w:val="24"/>
          <w:vertAlign w:val="superscript"/>
          <w:lang w:val="en-GB" w:eastAsia="en-GB"/>
        </w:rPr>
        <w:instrText xml:space="preserve">, CPP: 4 </w:instrText>
      </w:r>
      <w:r w:rsidRPr="00E50CE1">
        <w:rPr>
          <w:rFonts w:ascii="MS Gothic" w:eastAsia="MS Gothic" w:hAnsi="MS Gothic" w:cs="MS Gothic" w:hint="eastAsia"/>
          <w:sz w:val="24"/>
          <w:szCs w:val="24"/>
          <w:vertAlign w:val="superscript"/>
          <w:lang w:val="en-GB" w:eastAsia="en-GB"/>
        </w:rPr>
        <w:instrText>月</w:instrText>
      </w:r>
      <w:r w:rsidRPr="00E50CE1">
        <w:rPr>
          <w:rFonts w:ascii="Times New Roman" w:eastAsia="Times New Roman" w:hAnsi="Times New Roman" w:cs="Times New Roman"/>
          <w:sz w:val="24"/>
          <w:szCs w:val="24"/>
          <w:vertAlign w:val="superscript"/>
          <w:lang w:val="en-GB" w:eastAsia="en-GB"/>
        </w:rPr>
        <w:instrText>; aCPP: …","author":[{"dropping-particle":"","family":"Zhou","given":"Wen-Jian-Long","non-dropping-particle":"","parse-names":false,"suffix":""},{"dropping-particle":"","family":"Wang","given":"Xi","non-dropping-particle":"","parse-names":false,"suffix":""},{"dropping-particle":"","family":"Peng","given":"Jia-Yi","non-dropping-particle":"","parse-names":false,"suffix":""},{"dropping-particle":"","family":"Ma","given":"Shun-Chang","non-dropping-particle":"","parse-names":false,"suffix":""},{"dropping-particle":"","family":"Zhang","given":"Dai-Nan","non-dropping-particle":"","parse-names":false,"suffix":""},{"dropping-particle":"","family":"Guan","given":"Xiu-Dong","non-dropping-particle":"","parse-names":false,"suffix":""},{"dropping-particle":"","family":"Diao","given":"Jin-Fu","non-dropping-particle":"","parse-names":false,"suffix":""},{"dropping-particle":"","family":"Niu","given":"Jian-Xing","non-dropping-particle":"","parse-names":false,"suffix":""},{"dropping-particle":"","family":"Li","given":"Chun-De","non-dropping-particle":"","parse-names":false,"suffix":""},{"dropping-particle":"","family":"Jia","given":"Wang","non-dropping-particle":"","parse-names":false,"suffix":""}],"container-title":"Chinese medical journal","id":"ITEM-2","issue":"24","issued":{"date-parts":[["2018","12","20"]]},"page":"2938-2946","title":"Clinical Features and Prognostic Risk Factors of Choroid Plexus Tumors in Children.","type":"article-journal","volume":"131"},"uris":["http://www.mendeley.com/documents/?uuid=aae28592-1137-395e-aa9d-bd091ca28e3f"]}],"mendeley":{"formattedCitation":"(4,16)","plainTextFormattedCitation":"(4,16)","previouslyFormattedCitation":"(4,16)"},"properties":{"noteIndex":0},"schema":"https://github.com/citation-style-language/schema/raw/master/csl-citation.json"}</w:instrText>
      </w:r>
      <w:r w:rsidRPr="00E50CE1">
        <w:rPr>
          <w:rFonts w:ascii="Times New Roman" w:eastAsia="Times New Roman" w:hAnsi="Times New Roman" w:cs="Times New Roman"/>
          <w:sz w:val="24"/>
          <w:szCs w:val="24"/>
          <w:vertAlign w:val="superscript"/>
          <w:lang w:val="en-GB" w:eastAsia="en-GB"/>
        </w:rPr>
        <w:fldChar w:fldCharType="separate"/>
      </w:r>
      <w:r w:rsidRPr="00E50CE1">
        <w:rPr>
          <w:rFonts w:ascii="Times New Roman" w:eastAsia="Times New Roman" w:hAnsi="Times New Roman" w:cs="Times New Roman"/>
          <w:noProof/>
          <w:sz w:val="24"/>
          <w:szCs w:val="24"/>
          <w:vertAlign w:val="superscript"/>
          <w:lang w:val="en-GB" w:eastAsia="en-GB"/>
        </w:rPr>
        <w:t>(4,16)</w:t>
      </w:r>
      <w:r w:rsidRPr="00E50CE1">
        <w:rPr>
          <w:rFonts w:ascii="Times New Roman" w:eastAsia="Times New Roman" w:hAnsi="Times New Roman" w:cs="Times New Roman"/>
          <w:sz w:val="24"/>
          <w:szCs w:val="24"/>
          <w:vertAlign w:val="superscript"/>
          <w:lang w:val="en-GB" w:eastAsia="en-GB"/>
        </w:rPr>
        <w:fldChar w:fldCharType="end"/>
      </w:r>
      <w:r w:rsidRPr="00E50CE1">
        <w:rPr>
          <w:rFonts w:ascii="Times New Roman" w:eastAsia="Times New Roman" w:hAnsi="Times New Roman" w:cs="Times New Roman"/>
          <w:sz w:val="24"/>
          <w:szCs w:val="24"/>
          <w:lang w:val="en-GB" w:eastAsia="en-GB"/>
        </w:rPr>
        <w:t xml:space="preserve"> </w:t>
      </w:r>
    </w:p>
    <w:p w:rsidR="00433B6E" w:rsidRPr="00E50CE1" w:rsidRDefault="00433B6E" w:rsidP="00433B6E">
      <w:pPr>
        <w:spacing w:after="200" w:line="480" w:lineRule="auto"/>
        <w:jc w:val="both"/>
        <w:rPr>
          <w:rFonts w:ascii="Times New Roman" w:eastAsia="Times New Roman" w:hAnsi="Times New Roman" w:cs="Times New Roman"/>
          <w:sz w:val="24"/>
          <w:szCs w:val="24"/>
          <w:lang w:val="en-GB" w:eastAsia="en-GB"/>
        </w:rPr>
      </w:pPr>
      <w:r w:rsidRPr="00E50CE1">
        <w:rPr>
          <w:rFonts w:ascii="Times New Roman" w:eastAsia="Times New Roman" w:hAnsi="Times New Roman" w:cs="Times New Roman"/>
          <w:sz w:val="24"/>
          <w:szCs w:val="24"/>
          <w:lang w:val="en-GB" w:eastAsia="en-GB"/>
        </w:rPr>
        <w:t xml:space="preserve">The cure rates are also dependent on the histological grade of the tumour, as well as the extent of surgical resection and adjuvant treatment such as </w:t>
      </w:r>
      <w:proofErr w:type="spellStart"/>
      <w:r w:rsidRPr="00E50CE1">
        <w:rPr>
          <w:rFonts w:ascii="Times New Roman" w:eastAsia="Times New Roman" w:hAnsi="Times New Roman" w:cs="Times New Roman"/>
          <w:sz w:val="24"/>
          <w:szCs w:val="24"/>
          <w:lang w:val="en-GB" w:eastAsia="en-GB"/>
        </w:rPr>
        <w:t>chemoradiotherapy</w:t>
      </w:r>
      <w:proofErr w:type="spellEnd"/>
      <w:r w:rsidRPr="00E50CE1">
        <w:rPr>
          <w:rFonts w:ascii="Times New Roman" w:eastAsia="Times New Roman" w:hAnsi="Times New Roman" w:cs="Times New Roman"/>
          <w:sz w:val="24"/>
          <w:szCs w:val="24"/>
          <w:lang w:val="en-GB" w:eastAsia="en-GB"/>
        </w:rPr>
        <w:t xml:space="preserve">. Choroid plexus </w:t>
      </w:r>
      <w:proofErr w:type="spellStart"/>
      <w:r w:rsidRPr="00E50CE1">
        <w:rPr>
          <w:rFonts w:ascii="Times New Roman" w:eastAsia="Times New Roman" w:hAnsi="Times New Roman" w:cs="Times New Roman"/>
          <w:sz w:val="24"/>
          <w:szCs w:val="24"/>
          <w:lang w:val="en-GB" w:eastAsia="en-GB"/>
        </w:rPr>
        <w:t>papillomas</w:t>
      </w:r>
      <w:proofErr w:type="spellEnd"/>
      <w:r w:rsidRPr="00E50CE1">
        <w:rPr>
          <w:rFonts w:ascii="Times New Roman" w:eastAsia="Times New Roman" w:hAnsi="Times New Roman" w:cs="Times New Roman"/>
          <w:sz w:val="24"/>
          <w:szCs w:val="24"/>
          <w:lang w:val="en-GB" w:eastAsia="en-GB"/>
        </w:rPr>
        <w:t xml:space="preserve"> are reported to have the best cure rates and progression free survival while the choroid plexus carcinoma has worse outcome compared to the atypical choroid plexus papilloma. Therefore, the goal of surgery is gross total tumour excision. The challenge of surgery of a third ventricular choroid plexus papilloma is predicated on the central location of the tumour and the high vascularity with a tendency to being complicated by haemorrhage and shock particularly in infants with a small blood volume.</w:t>
      </w:r>
      <w:r w:rsidRPr="00E50CE1">
        <w:rPr>
          <w:rFonts w:ascii="Times New Roman" w:eastAsia="Times New Roman" w:hAnsi="Times New Roman" w:cs="Times New Roman"/>
          <w:sz w:val="24"/>
          <w:szCs w:val="24"/>
          <w:vertAlign w:val="superscript"/>
          <w:lang w:val="en-GB" w:eastAsia="en-GB"/>
        </w:rPr>
        <w:fldChar w:fldCharType="begin" w:fldLock="1"/>
      </w:r>
      <w:r w:rsidRPr="00E50CE1">
        <w:rPr>
          <w:rFonts w:ascii="Times New Roman" w:eastAsia="Times New Roman" w:hAnsi="Times New Roman" w:cs="Times New Roman"/>
          <w:sz w:val="24"/>
          <w:szCs w:val="24"/>
          <w:vertAlign w:val="superscript"/>
          <w:lang w:val="en-GB" w:eastAsia="en-GB"/>
        </w:rPr>
        <w:instrText>ADDIN CSL_CITATION {"citationItems":[{"id":"ITEM-1","itemData":{"DOI":"10.3171/2014.12.PEDS14287","PMID":"25860986","abstract":"The authors report an illustrative case of a purely endoscopic surgical approach to successfully remove a solid choroid plexus papilloma of the third ventricle in an infant. A 10-week-old male infant first presented with transient episodes of forced downward gaze, divergent macrocephaly, a tense anterior fontanel, diastasis of the cranial sutures, and papilledema. Brain MRI revealed a small, multilobulated contrast-enhancing mass situated within the posterior third ventricle, with resultant obstructive hydrocephalus. A purely endoscopic removal of the tumor was performed through a single right frontal bur hole. Intraoperatively, a unique vascular tributary was recognized coming from the tela choroidea and was controlled with coagulation and sharp dissection. Postoperative MRI confirmed complete tumor removal, and the tumor was classified as a choroid plexus papilloma. There has been no evidence of tumor recurrence over 42 months of follow-up. With this case report the authors intended to show that endoscopic surgery can be an additional tool to consider when planning a choroid plexus tumor approach. It seems to be of particular interest in selected cases in which there are concerns about the patient's total blood volume, as in infants with potential hemorrhagic tumors and when it is possible to preoperatively identify a single vascular pedicle that can be approached early in the surgery.","author":[{"dropping-particle":"","family":"Santos","given":"Maria M","non-dropping-particle":"","parse-names":false,"suffix":""},{"dropping-particle":"","family":"Souweidane","given":"Mark M","non-dropping-particle":"","parse-names":false,"suffix":""}],"container-title":"Journal of neurosurgery. Pediatrics","id":"ITEM-1","issue":"1","issued":{"date-parts":[["2015","7"]]},"page":"54-7","title":"Purely endoscopic resection of a choroid plexus papilloma of the third ventricle: case report.","type":"article-journal","volume":"16"},"uris":["http://www.mendeley.com/documents/?uuid=95b38255-abef-3543-909e-ad965fd5c58a"]}],"mendeley":{"formattedCitation":"(17)","plainTextFormattedCitation":"(17)","previouslyFormattedCitation":"(17)"},"properties":{"noteIndex":0},"schema":"https://github.com/citation-style-language/schema/raw/master/csl-citation.json"}</w:instrText>
      </w:r>
      <w:r w:rsidRPr="00E50CE1">
        <w:rPr>
          <w:rFonts w:ascii="Times New Roman" w:eastAsia="Times New Roman" w:hAnsi="Times New Roman" w:cs="Times New Roman"/>
          <w:sz w:val="24"/>
          <w:szCs w:val="24"/>
          <w:vertAlign w:val="superscript"/>
          <w:lang w:val="en-GB" w:eastAsia="en-GB"/>
        </w:rPr>
        <w:fldChar w:fldCharType="separate"/>
      </w:r>
      <w:r w:rsidRPr="00E50CE1">
        <w:rPr>
          <w:rFonts w:ascii="Times New Roman" w:eastAsia="Times New Roman" w:hAnsi="Times New Roman" w:cs="Times New Roman"/>
          <w:noProof/>
          <w:sz w:val="24"/>
          <w:szCs w:val="24"/>
          <w:vertAlign w:val="superscript"/>
          <w:lang w:val="en-GB" w:eastAsia="en-GB"/>
        </w:rPr>
        <w:t>(17)</w:t>
      </w:r>
      <w:r w:rsidRPr="00E50CE1">
        <w:rPr>
          <w:rFonts w:ascii="Times New Roman" w:eastAsia="Times New Roman" w:hAnsi="Times New Roman" w:cs="Times New Roman"/>
          <w:sz w:val="24"/>
          <w:szCs w:val="24"/>
          <w:vertAlign w:val="superscript"/>
          <w:lang w:val="en-GB" w:eastAsia="en-GB"/>
        </w:rPr>
        <w:fldChar w:fldCharType="end"/>
      </w:r>
    </w:p>
    <w:p w:rsidR="00433B6E" w:rsidRPr="00E50CE1" w:rsidRDefault="00433B6E" w:rsidP="00433B6E">
      <w:pPr>
        <w:spacing w:after="200" w:line="480" w:lineRule="auto"/>
        <w:jc w:val="both"/>
        <w:rPr>
          <w:rFonts w:ascii="Times New Roman" w:eastAsia="Times New Roman" w:hAnsi="Times New Roman" w:cs="Times New Roman"/>
          <w:sz w:val="24"/>
          <w:szCs w:val="24"/>
          <w:lang w:val="en-GB" w:eastAsia="en-GB"/>
        </w:rPr>
      </w:pPr>
      <w:r w:rsidRPr="00E50CE1">
        <w:rPr>
          <w:rFonts w:ascii="Times New Roman" w:eastAsia="Times New Roman" w:hAnsi="Times New Roman" w:cs="Times New Roman"/>
          <w:sz w:val="24"/>
          <w:szCs w:val="24"/>
          <w:lang w:val="en-GB" w:eastAsia="en-GB"/>
        </w:rPr>
        <w:t xml:space="preserve">Several surgical approaches to tumours within the third ventricle have been described which include the </w:t>
      </w:r>
      <w:proofErr w:type="spellStart"/>
      <w:r w:rsidRPr="00E50CE1">
        <w:rPr>
          <w:rFonts w:ascii="Times New Roman" w:eastAsia="Times New Roman" w:hAnsi="Times New Roman" w:cs="Times New Roman"/>
          <w:sz w:val="24"/>
          <w:szCs w:val="24"/>
          <w:lang w:val="en-GB" w:eastAsia="en-GB"/>
        </w:rPr>
        <w:t>transcortical</w:t>
      </w:r>
      <w:proofErr w:type="spellEnd"/>
      <w:r w:rsidRPr="00E50CE1">
        <w:rPr>
          <w:rFonts w:ascii="Times New Roman" w:eastAsia="Times New Roman" w:hAnsi="Times New Roman" w:cs="Times New Roman"/>
          <w:sz w:val="24"/>
          <w:szCs w:val="24"/>
          <w:lang w:val="en-GB" w:eastAsia="en-GB"/>
        </w:rPr>
        <w:t xml:space="preserve">, supra-cerebellar and </w:t>
      </w:r>
      <w:proofErr w:type="spellStart"/>
      <w:r w:rsidRPr="00E50CE1">
        <w:rPr>
          <w:rFonts w:ascii="Times New Roman" w:eastAsia="Times New Roman" w:hAnsi="Times New Roman" w:cs="Times New Roman"/>
          <w:sz w:val="24"/>
          <w:szCs w:val="24"/>
          <w:lang w:val="en-GB" w:eastAsia="en-GB"/>
        </w:rPr>
        <w:t>transcallosal</w:t>
      </w:r>
      <w:proofErr w:type="spellEnd"/>
      <w:r w:rsidRPr="00E50CE1">
        <w:rPr>
          <w:rFonts w:ascii="Times New Roman" w:eastAsia="Times New Roman" w:hAnsi="Times New Roman" w:cs="Times New Roman"/>
          <w:sz w:val="24"/>
          <w:szCs w:val="24"/>
          <w:lang w:val="en-GB" w:eastAsia="en-GB"/>
        </w:rPr>
        <w:t xml:space="preserve"> approaches.</w:t>
      </w:r>
      <w:r w:rsidRPr="00E50CE1">
        <w:rPr>
          <w:rFonts w:ascii="Times New Roman" w:eastAsia="Times New Roman" w:hAnsi="Times New Roman" w:cs="Times New Roman"/>
          <w:sz w:val="24"/>
          <w:szCs w:val="24"/>
          <w:vertAlign w:val="superscript"/>
          <w:lang w:val="en-GB" w:eastAsia="en-GB"/>
        </w:rPr>
        <w:fldChar w:fldCharType="begin" w:fldLock="1"/>
      </w:r>
      <w:r w:rsidRPr="00E50CE1">
        <w:rPr>
          <w:rFonts w:ascii="Times New Roman" w:eastAsia="Times New Roman" w:hAnsi="Times New Roman" w:cs="Times New Roman"/>
          <w:sz w:val="24"/>
          <w:szCs w:val="24"/>
          <w:vertAlign w:val="superscript"/>
          <w:lang w:val="en-GB" w:eastAsia="en-GB"/>
        </w:rPr>
        <w:instrText>ADDIN CSL_CITATION {"citationItems":[{"id":"ITEM-1","itemData":{"DOI":"10.3171/2012.8.PEDS12132","author":[{"dropping-particle":"","family":"Bettegowda","given":"Chetan","non-dropping-particle":"","parse-names":false,"suffix":""},{"dropping-particle":"","family":"Adogwa","given":"Owoicho","non-dropping-particle":"","parse-names":false,"suffix":""},{"dropping-particle":"","family":"Mehta","given":"Vivek","non-dropping-particle":"","parse-names":false,"suffix":""},{"dropping-particle":"","family":"Chaichana","given":"Kaisorn L.","non-dropping-particle":"","parse-names":false,"suffix":""},{"dropping-particle":"","family":"Weingart","given":"Jon","non-dropping-particle":"","parse-names":false,"suffix":""},{"dropping-particle":"","family":"Carson","given":"Benjamin S.","non-dropping-particle":"","parse-names":false,"suffix":""},{"dropping-particle":"","family":"Jallo","given":"George I.","non-dropping-particle":"","parse-names":false,"suffix":""},{"dropping-particle":"","family":"Ahn","given":"Edward S.","non-dropping-particle":"","parse-names":false,"suffix":""}],"container-title":"Journal of Neurosurgery: Pediatrics","id":"ITEM-1","issue":"5","issued":{"date-parts":[["2012","11","1"]]},"page":"398-405","publisher":"American Association of Neurological Surgeons","title":"Treatment of choroid plexus tumors: a 20-year single institutional experience","type":"article-journal","volume":"10"},"uris":["http://www.mendeley.com/documents/?uuid=a60351c6-7dc0-3e95-a1fa-c77ca702c45b"]},{"id":"ITEM-2","itemData":{"DOI":"10.1007/s00701-019-03832-5","PMID":"30783805","abstract":"BACKGROUND Choroid plexus tumors are rare entities. Resection is the mainstay of treatment in grade I and grade II tumors and adjuvant treatment is usually reserved for the less frequent choroid plexus carcinoma (CPC). Outcome is not only related to their histological grade but also dependent on their size, location, and presence of often multifactorial disturbances of cerebrospinal fluid (CSF) circulation. METHODS Retrospective analysis of 36 consecutive patients operated on a choroid plexus tumor at our institution in a mixed pediatric and adult population between 1991 and 2016. RESULTS Twenty-one CPP, 11 atypical choroid plexus papillomas (aCPP), and four CPC were encountered in 17 children and 19 adults. Regardless of histological grading, gross-total resection (GTR) could be achieved in 91.7% of patients. Tumor recurrence (25.0%) was significantly associated with histological grading (p = 0.004), subtotal resection (p = 0.002), and intraoperatively evident zones of tumor infiltration (p = 0.001). Adjuvant therapy was performed in 19.4% of patients, mainly diagnosed with CPC. The 5-year overall survival rate was 95.2% for CPP and 100.0% for both aCPP and CPC. Survival was related to the extent of resection (p = 0.001), tumor progression (p = 0.04), and the presence of leptomeningeal metastases (p = 0.002). Even after resection, either ventricular or subdural shunting was required in 25.0% of patients. CONCLUSIONS We could confirm that GTR is crucial for treatment of choroid plexus tumors. Parenchymal tumor infiltration as detected intraoperatively was associated with the extent of resection and not limited to CPC. CSF disturbances mandating treatment may persist after resection.","author":[{"dropping-particle":"","family":"Hosmann","given":"Arthur","non-dropping-particle":"","parse-names":false,"suffix":""},{"dropping-particle":"","family":"Hinker","given":"Felix","non-dropping-particle":"","parse-names":false,"suffix":""},{"dropping-particle":"","family":"Dorfer","given":"Christian","non-dropping-particle":"","parse-names":false,"suffix":""},{"dropping-particle":"","family":"Slavc","given":"Irene","non-dropping-particle":"","parse-names":false,"suffix":""},{"dropping-particle":"","family":"Haberler","given":"Christine","non-dropping-particle":"","parse-names":false,"suffix":""},{"dropping-particle":"","family":"Dieckmann","given":"Karin","non-dropping-particle":"","parse-names":false,"suffix":""},{"dropping-particle":"","family":"Knosp","given":"Engelbert","non-dropping-particle":"","parse-names":false,"suffix":""},{"dropping-particle":"","family":"Czech","given":"Thomas","non-dropping-particle":"","parse-names":false,"suffix":""}],"container-title":"Acta neurochirurgica","id":"ITEM-2","issue":"4","issued":{"date-parts":[["2019","4","19"]]},"page":"745-754","title":"Management of choroid plexus tumors-an institutional experience.","type":"article-journal","volume":"161"},"uris":["http://www.mendeley.com/documents/?uuid=18eca838-d421-3aa9-a53a-a118c65e30cf"]},{"id":"ITEM-3","itemData":{"DOI":"10.1227/00006123-198302000-00016","PMID":"6835505","author":[{"dropping-particle":"","family":"Gradin","given":"Wesley C.","non-dropping-particle":"","parse-names":false,"suffix":""},{"dropping-particle":"","family":"Taylon","given":"Charles","non-dropping-particle":"","parse-names":false,"suffix":""},{"dropping-particle":"","family":"Fruin","given":"Alan H.","non-dropping-particle":"","parse-names":false,"suffix":""}],"container-title":"Neurosurgery","id":"ITEM-3","issue":"2","issued":{"date-parts":[["1983","2"]]},"page":"217-220","title":"Choroid Plexus Papilloma of the Third Ventricle: Case Report and Review of the Literature","type":"article-journal","volume":"12"},"uris":["http://www.mendeley.com/documents/?uuid=3a697033-bb74-3c40-929e-13e43dfc28fa"]},{"id":"ITEM-4","itemData":{"DOI":"10.3171/2018.12.PEDS18453","PMID":"30797210","abstract":"Choroid plexus papillomas (CPPs) are rare, benign tumors that can arise in young children. Most pediatric patients present with signs of hydrocephalus and require immediate treatment. The natural history of choroid plexus tumors in children without hydrocephalus is poorly defined. In this report, the authors present the very rare case of a child without hydrocephalus but with two intraventricular choroid plexus tumors discovered shortly after birth. Initial imaging had been performed for seizures and showed agenesis of the corpus callosum and enhancing tumors in the third and left lateral ventricles. Sequential imaging demonstrated rapid growth of both tumors. The lateral tumor was removed when the child was 3 months of age. A histological examination of the specimen showed benign features with an elevated mitotic rate. Given the patient's age of under 3 years, the diagnosis was WHO grade I CPP. The third ventricle tumor grew rapidly. A second surgery was performed and this tumor was resected. Again, the pathological diagnosis was WHO grade I CPP. The authors present this rare case and discuss the current relevant literature.","author":[{"dropping-particle":"","family":"Misiolek","given":"Kalina A","non-dropping-particle":"","parse-names":false,"suffix":""},{"dropping-particle":"","family":"Osborn","given":"Zachary G","non-dropping-particle":"","parse-names":false,"suffix":""},{"dropping-particle":"","family":"Hauser","given":"Natalie","non-dropping-particle":"","parse-names":false,"suffix":""},{"dropping-particle":"","family":"Thomas","given":"Diana","non-dropping-particle":"","parse-names":false,"suffix":""},{"dropping-particle":"","family":"Goodman","given":"Jessica F","non-dropping-particle":"","parse-names":false,"suffix":""},{"dropping-particle":"","family":"Fulkerson","given":"Daniel H","non-dropping-particle":"","parse-names":false,"suffix":""}],"container-title":"Journal of neurosurgery. Pediatrics","id":"ITEM-4","issue":"5","issued":{"date-parts":[["2019","2","22"]]},"page":"1-6","title":"Rapidly growing, multifocal, benign choroid plexus tumor in an infant: case report.","type":"article-journal","volume":"23"},"uris":["http://www.mendeley.com/documents/?uuid=d2abcb6d-b75e-3e23-9b36-9d6a9dc1454f"]},{"id":"ITEM-5","itemData":{"DOI":"10.1007/s00401-015-1434-z","PMID":"25935663","author":[{"dropping-particle":"","family":"Thomas","given":"Christian","non-dropping-particle":"","parse-names":false,"suffix":""},{"dropping-particle":"","family":"Ruland","given":"Vincent","non-dropping-particle":"","parse-names":false,"suffix":""},{"dropping-particle":"","family":"Kordes","given":"Uwe","non-dropping-particle":"","parse-names":false,"suffix":""},{"dropping-particle":"","family":"Hartung","given":"Stefan","non-dropping-particle":"","parse-names":false,"suffix":""},{"dropping-particle":"","family":"Capper","given":"David","non-dropping-particle":"","parse-names":false,"suffix":""},{"dropping-particle":"","family":"Pietsch","given":"Torsten","non-dropping-particle":"","parse-names":false,"suffix":""},{"dropping-particle":"","family":"Gerß","given":"Joachim","non-dropping-particle":"","parse-names":false,"suffix":""},{"dropping-particle":"","family":"Wolff","given":"Johannes E A","non-dropping-particle":"","parse-names":false,"suffix":""},{"dropping-particle":"","family":"Paulus","given":"Werner","non-dropping-particle":"","parse-names":false,"suffix":""},{"dropping-particle":"","family":"Hasselblatt","given":"Martin","non-dropping-particle":"","parse-names":false,"suffix":""}],"container-title":"Acta neuropathologica","id":"ITEM-5","issue":"6","issued":{"date-parts":[["2015","6","3"]]},"page":"925-7","title":"Pediatric atypical choroid plexus papilloma reconsidered: increased mitotic activity is prognostic only in older children.","type":"article-journal","volume":"129"},"uris":["http://www.mendeley.com/documents/?uuid=3db6db74-7ea2-3e63-ac3e-f149acf83fd5"]}],"mendeley":{"formattedCitation":"(2,4,13,18,19)","plainTextFormattedCitation":"(2,4,13,18,19)","previouslyFormattedCitation":"(2,4,13,18,19)"},"properties":{"noteIndex":0},"schema":"https://github.com/citation-style-language/schema/raw/master/csl-citation.json"}</w:instrText>
      </w:r>
      <w:r w:rsidRPr="00E50CE1">
        <w:rPr>
          <w:rFonts w:ascii="Times New Roman" w:eastAsia="Times New Roman" w:hAnsi="Times New Roman" w:cs="Times New Roman"/>
          <w:sz w:val="24"/>
          <w:szCs w:val="24"/>
          <w:vertAlign w:val="superscript"/>
          <w:lang w:val="en-GB" w:eastAsia="en-GB"/>
        </w:rPr>
        <w:fldChar w:fldCharType="separate"/>
      </w:r>
      <w:r w:rsidRPr="00E50CE1">
        <w:rPr>
          <w:rFonts w:ascii="Times New Roman" w:eastAsia="Times New Roman" w:hAnsi="Times New Roman" w:cs="Times New Roman"/>
          <w:noProof/>
          <w:sz w:val="24"/>
          <w:szCs w:val="24"/>
          <w:vertAlign w:val="superscript"/>
          <w:lang w:val="en-GB" w:eastAsia="en-GB"/>
        </w:rPr>
        <w:t>(2,4,13,18,19)</w:t>
      </w:r>
      <w:r w:rsidRPr="00E50CE1">
        <w:rPr>
          <w:rFonts w:ascii="Times New Roman" w:eastAsia="Times New Roman" w:hAnsi="Times New Roman" w:cs="Times New Roman"/>
          <w:sz w:val="24"/>
          <w:szCs w:val="24"/>
          <w:vertAlign w:val="superscript"/>
          <w:lang w:val="en-GB" w:eastAsia="en-GB"/>
        </w:rPr>
        <w:fldChar w:fldCharType="end"/>
      </w:r>
      <w:r w:rsidRPr="00E50CE1">
        <w:rPr>
          <w:rFonts w:ascii="Times New Roman" w:eastAsia="Times New Roman" w:hAnsi="Times New Roman" w:cs="Times New Roman"/>
          <w:sz w:val="24"/>
          <w:szCs w:val="24"/>
          <w:lang w:val="en-GB" w:eastAsia="en-GB"/>
        </w:rPr>
        <w:t xml:space="preserve"> An advantage in some patients is the occasional absence or thinning of the corpus callosum This can be seen in cases associated with genetic malformation like the </w:t>
      </w:r>
      <w:proofErr w:type="spellStart"/>
      <w:r w:rsidRPr="00E50CE1">
        <w:rPr>
          <w:rFonts w:ascii="Times New Roman" w:eastAsia="Times New Roman" w:hAnsi="Times New Roman" w:cs="Times New Roman"/>
          <w:sz w:val="24"/>
          <w:szCs w:val="24"/>
          <w:lang w:val="en-GB" w:eastAsia="en-GB"/>
        </w:rPr>
        <w:t>Aicardi</w:t>
      </w:r>
      <w:proofErr w:type="spellEnd"/>
      <w:r w:rsidRPr="00E50CE1">
        <w:rPr>
          <w:rFonts w:ascii="Times New Roman" w:eastAsia="Times New Roman" w:hAnsi="Times New Roman" w:cs="Times New Roman"/>
          <w:sz w:val="24"/>
          <w:szCs w:val="24"/>
          <w:lang w:val="en-GB" w:eastAsia="en-GB"/>
        </w:rPr>
        <w:t xml:space="preserve"> syndrome in which amongst other signs there is absence or thinning of the corpus callosum.</w:t>
      </w:r>
      <w:r w:rsidRPr="00E50CE1">
        <w:rPr>
          <w:rFonts w:ascii="Times New Roman" w:eastAsia="Times New Roman" w:hAnsi="Times New Roman" w:cs="Times New Roman"/>
          <w:sz w:val="24"/>
          <w:szCs w:val="24"/>
          <w:vertAlign w:val="superscript"/>
          <w:lang w:val="en-GB" w:eastAsia="en-GB"/>
        </w:rPr>
        <w:fldChar w:fldCharType="begin" w:fldLock="1"/>
      </w:r>
      <w:r w:rsidRPr="00E50CE1">
        <w:rPr>
          <w:rFonts w:ascii="Times New Roman" w:eastAsia="Times New Roman" w:hAnsi="Times New Roman" w:cs="Times New Roman"/>
          <w:sz w:val="24"/>
          <w:szCs w:val="24"/>
          <w:vertAlign w:val="superscript"/>
          <w:lang w:val="en-GB" w:eastAsia="en-GB"/>
        </w:rPr>
        <w:instrText>ADDIN CSL_CITATION {"citationItems":[{"id":"ITEM-1","itemData":{"DOI":"10.3171/2018.12.PEDS18453","PMID":"30797210","abstract":"Choroid plexus papillomas (CPPs) are rare, benign tumors that can arise in young children. Most pediatric patients present with signs of hydrocephalus and require immediate treatment. The natural history of choroid plexus tumors in children without hydrocephalus is poorly defined. In this report, the authors present the very rare case of a child without hydrocephalus but with two intraventricular choroid plexus tumors discovered shortly after birth. Initial imaging had been performed for seizures and showed agenesis of the corpus callosum and enhancing tumors in the third and left lateral ventricles. Sequential imaging demonstrated rapid growth of both tumors. The lateral tumor was removed when the child was 3 months of age. A histological examination of the specimen showed benign features with an elevated mitotic rate. Given the patient's age of under 3 years, the diagnosis was WHO grade I CPP. The third ventricle tumor grew rapidly. A second surgery was performed and this tumor was resected. Again, the pathological diagnosis was WHO grade I CPP. The authors present this rare case and discuss the current relevant literature.","author":[{"dropping-particle":"","family":"Misiolek","given":"Kalina A","non-dropping-particle":"","parse-names":false,"suffix":""},{"dropping-particle":"","family":"Osborn","given":"Zachary G","non-dropping-particle":"","parse-names":false,"suffix":""},{"dropping-particle":"","family":"Hauser","given":"Natalie","non-dropping-particle":"","parse-names":false,"suffix":""},{"dropping-particle":"","family":"Thomas","given":"Diana","non-dropping-particle":"","parse-names":false,"suffix":""},{"dropping-particle":"","family":"Goodman","given":"Jessica F","non-dropping-particle":"","parse-names":false,"suffix":""},{"dropping-particle":"","family":"Fulkerson","given":"Daniel H","non-dropping-particle":"","parse-names":false,"suffix":""}],"container-title":"Journal of neurosurgery. Pediatrics","id":"ITEM-1","issue":"5","issued":{"date-parts":[["2019","2","22"]]},"page":"1-6","title":"Rapidly growing, multifocal, benign choroid plexus tumor in an infant: case report.","type":"article-journal","volume":"23"},"uris":["http://www.mendeley.com/documents/?uuid=d2abcb6d-b75e-3e23-9b36-9d6a9dc1454f"]},{"id":"ITEM-2","itemData":{"DOI":"10.1159/000055956","PMID":"11124640","abstract":"Aicardi syndrome is an X-linked dominant disorder primarily defined by the triad of corpus callosum agenesis, infantile spasms and a pathognomonic lacunar chorioretinopathy. Papillomas of the choroid plexus have been reported in affected patients. We report an Aicardi syndrome patient who had three separate choroid plexus papillomas and associated hydrocephalus. A dizygotic twin was unaffected. Staged resection of the tumors was safely accomplished, with improvement in seizure control. Imaging between procedures revealed rapid tumor growth.","author":[{"dropping-particle":"","family":"Taggard","given":"D A","non-dropping-particle":"","parse-names":false,"suffix":""},{"dropping-particle":"","family":"Menezes","given":"A H","non-dropping-particle":"","parse-names":false,"suffix":""}],"container-title":"Pediatric neurosurgery","id":"ITEM-2","issue":"4","issued":{"date-parts":[["2000","10"]]},"page":"219-23","title":"Three choroid plexus papillomas in a patient with Aicardi syndrome. A case report.","type":"article-journal","volume":"33"},"uris":["http://www.mendeley.com/documents/?uuid=9ce6267a-0fb0-3c23-8f33-f81fac7a3b2a"]},{"id":"ITEM-3","itemData":{"PMID":"12563397","abstract":"A case of Aicardi syndrome associated with a choroid plexus papilloma of the third and both lateral ventricles in a 15 months old baby girl is repported. The tumor was completely removed via three craniotomies. Reports of the literature with the association of choroid plexus papilloma and Aicardi syndrome are rare. We suggest that children diagnosed with Aicardi syndrome should routinely undergo imaging studies of the brain, such as computed tomography or magnetic resonance.","author":[{"dropping-particle":"","family":"Pianetti Filho","given":"Geraldo","non-dropping-particle":"","parse-names":false,"suffix":""},{"dropping-particle":"","family":"Fonseca","given":"Luiz Fernando","non-dropping-particle":"","parse-names":false,"suffix":""},{"dropping-particle":"","family":"Silva","given":"Márcia Cristina","non-dropping-particle":"da","parse-names":false,"suffix":""}],"container-title":"Arquivos de neuro-psiquiatria","id":"ITEM-3","issue":"4","issued":{"date-parts":[["2002","12"]]},"page":"1008-10","title":"Choroid plexus papilloma and Aicardi syndrome: case report.","type":"article-journal","volume":"60"},"uris":["http://www.mendeley.com/documents/?uuid=27790f18-9284-3918-922f-f6648c1acaa9"]}],"mendeley":{"formattedCitation":"(18,20,21)","plainTextFormattedCitation":"(18,20,21)","previouslyFormattedCitation":"(18,20,21)"},"properties":{"noteIndex":0},"schema":"https://github.com/citation-style-language/schema/raw/master/csl-citation.json"}</w:instrText>
      </w:r>
      <w:r w:rsidRPr="00E50CE1">
        <w:rPr>
          <w:rFonts w:ascii="Times New Roman" w:eastAsia="Times New Roman" w:hAnsi="Times New Roman" w:cs="Times New Roman"/>
          <w:sz w:val="24"/>
          <w:szCs w:val="24"/>
          <w:vertAlign w:val="superscript"/>
          <w:lang w:val="en-GB" w:eastAsia="en-GB"/>
        </w:rPr>
        <w:fldChar w:fldCharType="separate"/>
      </w:r>
      <w:r w:rsidRPr="00E50CE1">
        <w:rPr>
          <w:rFonts w:ascii="Times New Roman" w:eastAsia="Times New Roman" w:hAnsi="Times New Roman" w:cs="Times New Roman"/>
          <w:noProof/>
          <w:sz w:val="24"/>
          <w:szCs w:val="24"/>
          <w:vertAlign w:val="superscript"/>
          <w:lang w:val="en-GB" w:eastAsia="en-GB"/>
        </w:rPr>
        <w:t>(18,20,21)</w:t>
      </w:r>
      <w:r w:rsidRPr="00E50CE1">
        <w:rPr>
          <w:rFonts w:ascii="Times New Roman" w:eastAsia="Times New Roman" w:hAnsi="Times New Roman" w:cs="Times New Roman"/>
          <w:sz w:val="24"/>
          <w:szCs w:val="24"/>
          <w:vertAlign w:val="superscript"/>
          <w:lang w:val="en-GB" w:eastAsia="en-GB"/>
        </w:rPr>
        <w:fldChar w:fldCharType="end"/>
      </w:r>
      <w:r w:rsidRPr="00E50CE1">
        <w:rPr>
          <w:rFonts w:ascii="Times New Roman" w:eastAsia="Times New Roman" w:hAnsi="Times New Roman" w:cs="Times New Roman"/>
          <w:sz w:val="24"/>
          <w:szCs w:val="24"/>
          <w:lang w:val="en-GB" w:eastAsia="en-GB"/>
        </w:rPr>
        <w:t xml:space="preserve"> </w:t>
      </w:r>
      <w:proofErr w:type="gramStart"/>
      <w:r w:rsidRPr="00E50CE1">
        <w:rPr>
          <w:rFonts w:ascii="Times New Roman" w:eastAsia="Times New Roman" w:hAnsi="Times New Roman" w:cs="Times New Roman"/>
          <w:sz w:val="24"/>
          <w:szCs w:val="24"/>
          <w:lang w:val="en-GB" w:eastAsia="en-GB"/>
        </w:rPr>
        <w:t>We</w:t>
      </w:r>
      <w:proofErr w:type="gramEnd"/>
      <w:r w:rsidRPr="00E50CE1">
        <w:rPr>
          <w:rFonts w:ascii="Times New Roman" w:eastAsia="Times New Roman" w:hAnsi="Times New Roman" w:cs="Times New Roman"/>
          <w:sz w:val="24"/>
          <w:szCs w:val="24"/>
          <w:lang w:val="en-GB" w:eastAsia="en-GB"/>
        </w:rPr>
        <w:t xml:space="preserve"> elected to approach the tumour via a </w:t>
      </w:r>
      <w:proofErr w:type="spellStart"/>
      <w:r w:rsidRPr="00E50CE1">
        <w:rPr>
          <w:rFonts w:ascii="Times New Roman" w:eastAsia="Times New Roman" w:hAnsi="Times New Roman" w:cs="Times New Roman"/>
          <w:sz w:val="24"/>
          <w:szCs w:val="24"/>
          <w:lang w:val="en-GB" w:eastAsia="en-GB"/>
        </w:rPr>
        <w:t>transcortical</w:t>
      </w:r>
      <w:proofErr w:type="spellEnd"/>
      <w:r w:rsidRPr="00E50CE1">
        <w:rPr>
          <w:rFonts w:ascii="Times New Roman" w:eastAsia="Times New Roman" w:hAnsi="Times New Roman" w:cs="Times New Roman"/>
          <w:sz w:val="24"/>
          <w:szCs w:val="24"/>
          <w:lang w:val="en-GB" w:eastAsia="en-GB"/>
        </w:rPr>
        <w:t xml:space="preserve">, </w:t>
      </w:r>
      <w:proofErr w:type="spellStart"/>
      <w:r w:rsidRPr="00E50CE1">
        <w:rPr>
          <w:rFonts w:ascii="Times New Roman" w:eastAsia="Times New Roman" w:hAnsi="Times New Roman" w:cs="Times New Roman"/>
          <w:sz w:val="24"/>
          <w:szCs w:val="24"/>
          <w:lang w:val="en-GB" w:eastAsia="en-GB"/>
        </w:rPr>
        <w:t>transforaminal</w:t>
      </w:r>
      <w:proofErr w:type="spellEnd"/>
      <w:r w:rsidRPr="00E50CE1">
        <w:rPr>
          <w:rFonts w:ascii="Times New Roman" w:eastAsia="Times New Roman" w:hAnsi="Times New Roman" w:cs="Times New Roman"/>
          <w:sz w:val="24"/>
          <w:szCs w:val="24"/>
          <w:lang w:val="en-GB" w:eastAsia="en-GB"/>
        </w:rPr>
        <w:t xml:space="preserve"> route using the Kocher’s point through a wide anterior </w:t>
      </w:r>
      <w:proofErr w:type="spellStart"/>
      <w:r w:rsidRPr="00E50CE1">
        <w:rPr>
          <w:rFonts w:ascii="Times New Roman" w:eastAsia="Times New Roman" w:hAnsi="Times New Roman" w:cs="Times New Roman"/>
          <w:sz w:val="24"/>
          <w:szCs w:val="24"/>
          <w:lang w:val="en-GB" w:eastAsia="en-GB"/>
        </w:rPr>
        <w:t>fontanelle</w:t>
      </w:r>
      <w:proofErr w:type="spellEnd"/>
      <w:r w:rsidRPr="00E50CE1">
        <w:rPr>
          <w:rFonts w:ascii="Times New Roman" w:eastAsia="Times New Roman" w:hAnsi="Times New Roman" w:cs="Times New Roman"/>
          <w:sz w:val="24"/>
          <w:szCs w:val="24"/>
          <w:lang w:val="en-GB" w:eastAsia="en-GB"/>
        </w:rPr>
        <w:t xml:space="preserve"> thereby obviating the need for a craniotomy. This approach has the </w:t>
      </w:r>
      <w:r w:rsidRPr="00E50CE1">
        <w:rPr>
          <w:rFonts w:ascii="Times New Roman" w:eastAsia="Times New Roman" w:hAnsi="Times New Roman" w:cs="Times New Roman"/>
          <w:sz w:val="24"/>
          <w:szCs w:val="24"/>
          <w:lang w:val="en-GB" w:eastAsia="en-GB"/>
        </w:rPr>
        <w:lastRenderedPageBreak/>
        <w:t xml:space="preserve">advantage of reducing the blood loss which can occur in a formal craniotomy hence giving more latitude as regards hemodynamic control during the actual tumour excision. </w:t>
      </w:r>
    </w:p>
    <w:p w:rsidR="00433B6E" w:rsidRPr="00E50CE1" w:rsidRDefault="00433B6E" w:rsidP="00433B6E">
      <w:pPr>
        <w:spacing w:after="200" w:line="480" w:lineRule="auto"/>
        <w:jc w:val="both"/>
        <w:rPr>
          <w:rFonts w:ascii="Times New Roman" w:eastAsia="Times New Roman" w:hAnsi="Times New Roman" w:cs="Times New Roman"/>
          <w:sz w:val="24"/>
          <w:szCs w:val="24"/>
          <w:lang w:val="en-GB" w:eastAsia="en-GB"/>
        </w:rPr>
      </w:pPr>
      <w:r w:rsidRPr="00E50CE1">
        <w:rPr>
          <w:rFonts w:ascii="Times New Roman" w:eastAsia="Times New Roman" w:hAnsi="Times New Roman" w:cs="Times New Roman"/>
          <w:sz w:val="24"/>
          <w:szCs w:val="24"/>
          <w:lang w:val="en-GB" w:eastAsia="en-GB"/>
        </w:rPr>
        <w:t xml:space="preserve">Atypical choroid plexus </w:t>
      </w:r>
      <w:proofErr w:type="spellStart"/>
      <w:r w:rsidRPr="00E50CE1">
        <w:rPr>
          <w:rFonts w:ascii="Times New Roman" w:eastAsia="Times New Roman" w:hAnsi="Times New Roman" w:cs="Times New Roman"/>
          <w:sz w:val="24"/>
          <w:szCs w:val="24"/>
          <w:lang w:val="en-GB" w:eastAsia="en-GB"/>
        </w:rPr>
        <w:t>papillomas</w:t>
      </w:r>
      <w:proofErr w:type="spellEnd"/>
      <w:r w:rsidRPr="00E50CE1">
        <w:rPr>
          <w:rFonts w:ascii="Times New Roman" w:eastAsia="Times New Roman" w:hAnsi="Times New Roman" w:cs="Times New Roman"/>
          <w:sz w:val="24"/>
          <w:szCs w:val="24"/>
          <w:lang w:val="en-GB" w:eastAsia="en-GB"/>
        </w:rPr>
        <w:t xml:space="preserve"> are a rare group of tumours. Based on the World Health Organization (WHO) classifications of choroid plexus tumours, the atypical choroid plexus </w:t>
      </w:r>
      <w:proofErr w:type="spellStart"/>
      <w:r w:rsidRPr="00E50CE1">
        <w:rPr>
          <w:rFonts w:ascii="Times New Roman" w:eastAsia="Times New Roman" w:hAnsi="Times New Roman" w:cs="Times New Roman"/>
          <w:sz w:val="24"/>
          <w:szCs w:val="24"/>
          <w:lang w:val="en-GB" w:eastAsia="en-GB"/>
        </w:rPr>
        <w:t>papillomas</w:t>
      </w:r>
      <w:proofErr w:type="spellEnd"/>
      <w:r w:rsidRPr="00E50CE1">
        <w:rPr>
          <w:rFonts w:ascii="Times New Roman" w:eastAsia="Times New Roman" w:hAnsi="Times New Roman" w:cs="Times New Roman"/>
          <w:sz w:val="24"/>
          <w:szCs w:val="24"/>
          <w:lang w:val="en-GB" w:eastAsia="en-GB"/>
        </w:rPr>
        <w:t xml:space="preserve"> are classified as an intermediate grade, between benign and malignant. They generally carry a five-fold risk of recurrence compared to the choroid plexus papilloma. They are distinguished by the presence of greater than 2 but less than 5 mitoses per 10 high power field (HPF). Less than 2 mitoses per 10 HPF is seen in choroid plexus papilloma and greater than 5 mitoses per 10 HPF is seen in choroid plexus carcinomas.</w:t>
      </w:r>
      <w:r w:rsidRPr="00E50CE1">
        <w:rPr>
          <w:rFonts w:ascii="Times New Roman" w:eastAsia="Times New Roman" w:hAnsi="Times New Roman" w:cs="Times New Roman"/>
          <w:sz w:val="24"/>
          <w:szCs w:val="24"/>
          <w:vertAlign w:val="superscript"/>
          <w:lang w:val="en-GB" w:eastAsia="en-GB"/>
        </w:rPr>
        <w:fldChar w:fldCharType="begin" w:fldLock="1"/>
      </w:r>
      <w:r w:rsidRPr="00E50CE1">
        <w:rPr>
          <w:rFonts w:ascii="Times New Roman" w:eastAsia="Times New Roman" w:hAnsi="Times New Roman" w:cs="Times New Roman"/>
          <w:sz w:val="24"/>
          <w:szCs w:val="24"/>
          <w:vertAlign w:val="superscript"/>
          <w:lang w:val="en-GB" w:eastAsia="en-GB"/>
        </w:rPr>
        <w:instrText>ADDIN CSL_CITATION {"citationItems":[{"id":"ITEM-1","itemData":{"DOI":"10.1097/01.jnen.0000240464.26005.90","author":[{"dropping-particle":"","family":"Jeibmann","given":"Astrid","non-dropping-particle":"","parse-names":false,"suffix":""},{"dropping-particle":"","family":"Hasselblatt","given":"Martin","non-dropping-particle":"","parse-names":false,"suffix":""},{"dropping-particle":"","family":"Gerss","given":"Joachim","non-dropping-particle":"","parse-names":false,"suffix":""},{"dropping-particle":"","family":"Wrede","given":"Brigitte","non-dropping-particle":"","parse-names":false,"suffix":""},{"dropping-particle":"","family":"Egensperger","given":"Rupert","non-dropping-particle":"","parse-names":false,"suffix":""},{"dropping-particle":"","family":"Beschorner","given":"Rudi","non-dropping-particle":"","parse-names":false,"suffix":""},{"dropping-particle":"","family":"Hans","given":"Volkmar H. J.","non-dropping-particle":"","parse-names":false,"suffix":""},{"dropping-particle":"","family":"Rickert","given":"Christian H.","non-dropping-particle":"","parse-names":false,"suffix":""},{"dropping-particle":"","family":"Wolff","given":"Johannes E.","non-dropping-particle":"","parse-names":false,"suffix":""},{"dropping-particle":"","family":"Paulus","given":"Werner","non-dropping-particle":"","parse-names":false,"suffix":""}],"container-title":"Journal of Neuropathology &amp; Experimental Neurology","id":"ITEM-1","issue":"11","issued":{"date-parts":[["2006","11","1"]]},"page":"1069-1073","title":"Prognostic Implications of Atypical Histologic Features in Choroid Plexus Papilloma","type":"article-journal","volume":"65"},"uris":["http://www.mendeley.com/documents/?uuid=4072befd-8528-3772-a956-6d97e668f2fa"]},{"id":"ITEM-2","itemData":{"DOI":"10.1007/s00401-007-0243-4","PMID":"17618441","abstract":"The fourth edition of the World Health Organization (WHO) classification of tumours of the central nervous system, published in 2007, lists several new entities, including angiocentric glioma, papillary glioneuronal tumour, rosette-forming glioneuronal tumour of the fourth ventricle, papillary tumour of the pineal region, pituicytoma and spindle cell oncocytoma of the adenohypophysis. Histological variants were added if there was evidence of a different age distribution, location, genetic profile or clinical behaviour; these included pilomyxoid astrocytoma, anaplastic medulloblastoma and medulloblastoma with extensive nodularity. The WHO grading scheme and the sections on genetic profiles were updated and the rhabdoid tumour predisposition syndrome was added to the list of familial tumour syndromes typically involving the nervous system. As in the previous, 2000 edition of the WHO 'Blue Book', the classification is accompanied by a concise commentary on clinico-pathological characteristics of each tumour type. The 2007 WHO classification is based on the consensus of an international Working Group of 25 pathologists and geneticists, as well as contributions from more than 70 international experts overall, and is presented as the standard for the definition of brain tumours to the clinical oncology and cancer research communities world-wide.","author":[{"dropping-particle":"","family":"Louis","given":"David N","non-dropping-particle":"","parse-names":false,"suffix":""},{"dropping-particle":"","family":"Ohgaki","given":"Hiroko","non-dropping-particle":"","parse-names":false,"suffix":""},{"dropping-particle":"","family":"Wiestler","given":"Otmar D","non-dropping-particle":"","parse-names":false,"suffix":""},{"dropping-particle":"","family":"Cavenee","given":"Webster K","non-dropping-particle":"","parse-names":false,"suffix":""},{"dropping-particle":"","family":"Burger","given":"Peter C","non-dropping-particle":"","parse-names":false,"suffix":""},{"dropping-particle":"","family":"Jouvet","given":"Anne","non-dropping-particle":"","parse-names":false,"suffix":""},{"dropping-particle":"","family":"Scheithauer","given":"Bernd W","non-dropping-particle":"","parse-names":false,"suffix":""},{"dropping-particle":"","family":"Kleihues","given":"Paul","non-dropping-particle":"","parse-names":false,"suffix":""}],"container-title":"Acta neuropathologica","id":"ITEM-2","issue":"2","issued":{"date-parts":[["2007","8"]]},"page":"97-109","publisher":"Springer","title":"The 2007 WHO classification of tumours of the central nervous system.","type":"article-journal","volume":"114"},"uris":["http://www.mendeley.com/documents/?uuid=e1069eba-971e-3a2c-9d00-ff76e15df5b5"]}],"mendeley":{"formattedCitation":"(22,23)","plainTextFormattedCitation":"(22,23)","previouslyFormattedCitation":"(22,23)"},"properties":{"noteIndex":0},"schema":"https://github.com/citation-style-language/schema/raw/master/csl-citation.json"}</w:instrText>
      </w:r>
      <w:r w:rsidRPr="00E50CE1">
        <w:rPr>
          <w:rFonts w:ascii="Times New Roman" w:eastAsia="Times New Roman" w:hAnsi="Times New Roman" w:cs="Times New Roman"/>
          <w:sz w:val="24"/>
          <w:szCs w:val="24"/>
          <w:vertAlign w:val="superscript"/>
          <w:lang w:val="en-GB" w:eastAsia="en-GB"/>
        </w:rPr>
        <w:fldChar w:fldCharType="separate"/>
      </w:r>
      <w:r w:rsidRPr="00E50CE1">
        <w:rPr>
          <w:rFonts w:ascii="Times New Roman" w:eastAsia="Times New Roman" w:hAnsi="Times New Roman" w:cs="Times New Roman"/>
          <w:noProof/>
          <w:sz w:val="24"/>
          <w:szCs w:val="24"/>
          <w:vertAlign w:val="superscript"/>
          <w:lang w:val="en-GB" w:eastAsia="en-GB"/>
        </w:rPr>
        <w:t>(22,23)</w:t>
      </w:r>
      <w:r w:rsidRPr="00E50CE1">
        <w:rPr>
          <w:rFonts w:ascii="Times New Roman" w:eastAsia="Times New Roman" w:hAnsi="Times New Roman" w:cs="Times New Roman"/>
          <w:sz w:val="24"/>
          <w:szCs w:val="24"/>
          <w:vertAlign w:val="superscript"/>
          <w:lang w:val="en-GB" w:eastAsia="en-GB"/>
        </w:rPr>
        <w:fldChar w:fldCharType="end"/>
      </w:r>
      <w:r w:rsidRPr="00E50CE1">
        <w:rPr>
          <w:rFonts w:ascii="Times New Roman" w:eastAsia="Times New Roman" w:hAnsi="Times New Roman" w:cs="Times New Roman"/>
          <w:sz w:val="24"/>
          <w:szCs w:val="24"/>
          <w:lang w:val="en-GB" w:eastAsia="en-GB"/>
        </w:rPr>
        <w:t xml:space="preserve"> When choroid plexus tumours in the third ventricles occur in the posterior third of the lateral ventricles, they can be mistaken for a papillary tumour of the pineal region (PTPR). </w:t>
      </w:r>
      <w:proofErr w:type="spellStart"/>
      <w:r w:rsidRPr="00E50CE1">
        <w:rPr>
          <w:rFonts w:ascii="Times New Roman" w:eastAsia="Times New Roman" w:hAnsi="Times New Roman" w:cs="Times New Roman"/>
          <w:sz w:val="24"/>
          <w:szCs w:val="24"/>
          <w:lang w:val="en-GB" w:eastAsia="en-GB"/>
        </w:rPr>
        <w:t>Immuno-histochemistry</w:t>
      </w:r>
      <w:proofErr w:type="spellEnd"/>
      <w:r w:rsidRPr="00E50CE1">
        <w:rPr>
          <w:rFonts w:ascii="Times New Roman" w:eastAsia="Times New Roman" w:hAnsi="Times New Roman" w:cs="Times New Roman"/>
          <w:sz w:val="24"/>
          <w:szCs w:val="24"/>
          <w:lang w:val="en-GB" w:eastAsia="en-GB"/>
        </w:rPr>
        <w:t xml:space="preserve"> plays a significant role in differentiating a choroid plexus papilloma from a PTPR. Both tumours are rare </w:t>
      </w:r>
      <w:proofErr w:type="spellStart"/>
      <w:r w:rsidRPr="00E50CE1">
        <w:rPr>
          <w:rFonts w:ascii="Times New Roman" w:eastAsia="Times New Roman" w:hAnsi="Times New Roman" w:cs="Times New Roman"/>
          <w:sz w:val="24"/>
          <w:szCs w:val="24"/>
          <w:lang w:val="en-GB" w:eastAsia="en-GB"/>
        </w:rPr>
        <w:t>neuro</w:t>
      </w:r>
      <w:proofErr w:type="spellEnd"/>
      <w:r w:rsidRPr="00E50CE1">
        <w:rPr>
          <w:rFonts w:ascii="Times New Roman" w:eastAsia="Times New Roman" w:hAnsi="Times New Roman" w:cs="Times New Roman"/>
          <w:sz w:val="24"/>
          <w:szCs w:val="24"/>
          <w:lang w:val="en-GB" w:eastAsia="en-GB"/>
        </w:rPr>
        <w:t xml:space="preserve">-epithelial tumours that express </w:t>
      </w:r>
      <w:proofErr w:type="spellStart"/>
      <w:r w:rsidRPr="00E50CE1">
        <w:rPr>
          <w:rFonts w:ascii="Times New Roman" w:eastAsia="Times New Roman" w:hAnsi="Times New Roman" w:cs="Times New Roman"/>
          <w:sz w:val="24"/>
          <w:szCs w:val="24"/>
          <w:lang w:val="en-GB" w:eastAsia="en-GB"/>
        </w:rPr>
        <w:t>vimentin</w:t>
      </w:r>
      <w:proofErr w:type="spellEnd"/>
      <w:r w:rsidRPr="00E50CE1">
        <w:rPr>
          <w:rFonts w:ascii="Times New Roman" w:eastAsia="Times New Roman" w:hAnsi="Times New Roman" w:cs="Times New Roman"/>
          <w:sz w:val="24"/>
          <w:szCs w:val="24"/>
          <w:lang w:val="en-GB" w:eastAsia="en-GB"/>
        </w:rPr>
        <w:t xml:space="preserve">, cytokeratin, and </w:t>
      </w:r>
      <w:proofErr w:type="spellStart"/>
      <w:r w:rsidRPr="00E50CE1">
        <w:rPr>
          <w:rFonts w:ascii="Times New Roman" w:eastAsia="Times New Roman" w:hAnsi="Times New Roman" w:cs="Times New Roman"/>
          <w:sz w:val="24"/>
          <w:szCs w:val="24"/>
          <w:lang w:val="en-GB" w:eastAsia="en-GB"/>
        </w:rPr>
        <w:t>transthyretin</w:t>
      </w:r>
      <w:proofErr w:type="spellEnd"/>
      <w:r w:rsidRPr="00E50CE1">
        <w:rPr>
          <w:rFonts w:ascii="Times New Roman" w:eastAsia="Times New Roman" w:hAnsi="Times New Roman" w:cs="Times New Roman"/>
          <w:sz w:val="24"/>
          <w:szCs w:val="24"/>
          <w:lang w:val="en-GB" w:eastAsia="en-GB"/>
        </w:rPr>
        <w:t xml:space="preserve">. However, PTPR exhibits </w:t>
      </w:r>
      <w:proofErr w:type="spellStart"/>
      <w:r w:rsidRPr="00E50CE1">
        <w:rPr>
          <w:rFonts w:ascii="Times New Roman" w:eastAsia="Times New Roman" w:hAnsi="Times New Roman" w:cs="Times New Roman"/>
          <w:sz w:val="24"/>
          <w:szCs w:val="24"/>
          <w:lang w:val="en-GB" w:eastAsia="en-GB"/>
        </w:rPr>
        <w:t>immunoreactivity</w:t>
      </w:r>
      <w:proofErr w:type="spellEnd"/>
      <w:r w:rsidRPr="00E50CE1">
        <w:rPr>
          <w:rFonts w:ascii="Times New Roman" w:eastAsia="Times New Roman" w:hAnsi="Times New Roman" w:cs="Times New Roman"/>
          <w:sz w:val="24"/>
          <w:szCs w:val="24"/>
          <w:lang w:val="en-GB" w:eastAsia="en-GB"/>
        </w:rPr>
        <w:t xml:space="preserve"> for microtubule-associated protein 2, neural cell adhesion marker which is absent in choroid plexus </w:t>
      </w:r>
      <w:proofErr w:type="spellStart"/>
      <w:r w:rsidRPr="00E50CE1">
        <w:rPr>
          <w:rFonts w:ascii="Times New Roman" w:eastAsia="Times New Roman" w:hAnsi="Times New Roman" w:cs="Times New Roman"/>
          <w:sz w:val="24"/>
          <w:szCs w:val="24"/>
          <w:lang w:val="en-GB" w:eastAsia="en-GB"/>
        </w:rPr>
        <w:t>papillomas</w:t>
      </w:r>
      <w:proofErr w:type="spellEnd"/>
      <w:r w:rsidRPr="00E50CE1">
        <w:rPr>
          <w:rFonts w:ascii="Times New Roman" w:eastAsia="Times New Roman" w:hAnsi="Times New Roman" w:cs="Times New Roman"/>
          <w:sz w:val="24"/>
          <w:szCs w:val="24"/>
          <w:lang w:val="en-GB" w:eastAsia="en-GB"/>
        </w:rPr>
        <w:t xml:space="preserve">. Choroid plexus </w:t>
      </w:r>
      <w:proofErr w:type="spellStart"/>
      <w:r w:rsidRPr="00E50CE1">
        <w:rPr>
          <w:rFonts w:ascii="Times New Roman" w:eastAsia="Times New Roman" w:hAnsi="Times New Roman" w:cs="Times New Roman"/>
          <w:sz w:val="24"/>
          <w:szCs w:val="24"/>
          <w:lang w:val="en-GB" w:eastAsia="en-GB"/>
        </w:rPr>
        <w:t>papillomas</w:t>
      </w:r>
      <w:proofErr w:type="spellEnd"/>
      <w:r w:rsidRPr="00E50CE1">
        <w:rPr>
          <w:rFonts w:ascii="Times New Roman" w:eastAsia="Times New Roman" w:hAnsi="Times New Roman" w:cs="Times New Roman"/>
          <w:sz w:val="24"/>
          <w:szCs w:val="24"/>
          <w:lang w:val="en-GB" w:eastAsia="en-GB"/>
        </w:rPr>
        <w:t xml:space="preserve"> will stain for Kir7.1 and stanniocalcin-1 for which PTPR will not stain.</w:t>
      </w:r>
      <w:r w:rsidRPr="00E50CE1">
        <w:rPr>
          <w:rFonts w:ascii="Times New Roman" w:eastAsia="Times New Roman" w:hAnsi="Times New Roman" w:cs="Times New Roman"/>
          <w:sz w:val="24"/>
          <w:szCs w:val="24"/>
          <w:vertAlign w:val="superscript"/>
          <w:lang w:val="en-GB" w:eastAsia="en-GB"/>
        </w:rPr>
        <w:fldChar w:fldCharType="begin" w:fldLock="1"/>
      </w:r>
      <w:r w:rsidRPr="00E50CE1">
        <w:rPr>
          <w:rFonts w:ascii="Times New Roman" w:eastAsia="Times New Roman" w:hAnsi="Times New Roman" w:cs="Times New Roman"/>
          <w:sz w:val="24"/>
          <w:szCs w:val="24"/>
          <w:vertAlign w:val="superscript"/>
          <w:lang w:val="en-GB" w:eastAsia="en-GB"/>
        </w:rPr>
        <w:instrText>ADDIN CSL_CITATION {"citationItems":[{"id":"ITEM-1","itemData":{"DOI":"10.1093/neuonc/nos289","PMID":"23172371","abstract":"Choroid plexus papillomas are rare, benign tumors originating from the choroid plexus. Although generally found within the ventricular system, they can arise ectopically in the brain parenchyma or disseminate throughout the neuraxis. We sought to review recent advances in our understanding of the molecular biology and oncogenic pathways associated with this disease. A comprehensive PubMed literature review was conducted to identify manuscripts discussing the clinical, molecular, and genetic features of choroid plexus papillomas. Articles concerning diagnosis, treatment, and long-term patient outcomes were also reviewed. The introduction of atypical choroid plexus papilloma as a distinct entity has increased the need for accurate histopathologic diagnosis. Advances in immunohistochemical staining have improved our ability to differentiate choroid plexus papillomas from other intracranial tumors or metastatic lesions using combinations of key markers and mitotic indices. Recent findings have implicated Notch3 signaling, the transcription factor TWIST1, platelet-derived growth factor receptor, and the tumor necrosis factor-related apoptosis-inducing ligand pathway in choroid plexus papilloma tumorigenesis. A combination of commonly occurring chromosomal duplications and deletions has also been identified. Surgical resection remains the standard of care, although chemotherapy and radiotherapy may be considered for recurrent or metastatic lesions. While generally considered benign, these tumors possess a complex biology that sheds insight into other choroid plexus tumors, particularly malignant choroid plexus carcinomas. Improving our understanding of the molecular biology, genetics, and oncogenic pathways associated with this tumor will allow for the development of targeted therapies and improved outcomes for patients with this disease.","author":[{"dropping-particle":"","family":"Safaee","given":"Michael","non-dropping-particle":"","parse-names":false,"suffix":""},{"dropping-particle":"","family":"Oh","given":"Michael C","non-dropping-particle":"","parse-names":false,"suffix":""},{"dropping-particle":"","family":"Bloch","given":"Orin","non-dropping-particle":"","parse-names":false,"suffix":""},{"dropping-particle":"","family":"Sun","given":"Matthew Z","non-dropping-particle":"","parse-names":false,"suffix":""},{"dropping-particle":"","family":"Kaur","given":"Gurvinder","non-dropping-particle":"","parse-names":false,"suffix":""},{"dropping-particle":"","family":"Auguste","given":"Kurtis I","non-dropping-particle":"","parse-names":false,"suffix":""},{"dropping-particle":"","family":"Tihan","given":"Tarik","non-dropping-particle":"","parse-names":false,"suffix":""},{"dropping-particle":"","family":"Parsa","given":"Andrew T","non-dropping-particle":"","parse-names":false,"suffix":""}],"container-title":"Neuro-oncology","id":"ITEM-1","issue":"3","issued":{"date-parts":[["2013","3"]]},"page":"255-67","title":"Choroid plexus papillomas: advances in molecular biology and understanding of tumorigenesis.","type":"article-journal","volume":"15"},"uris":["http://www.mendeley.com/documents/?uuid=c7e1d641-c4ac-3094-af6a-e054f6cac01c"]},{"id":"ITEM-2","itemData":{"DOI":"10.1007/s00401-004-0898-z","PMID":"15221340","abstract":"We present here an unusual case of papillary neuroepithelial tumor of the pineal region. The patient was a 29-year-old female who presented with headaches. A computed tomography scan revealed a tumorous lesion at the pineal region and hydrocephalus. The resected tumor was composed of columnar and cuboidal cells showing characteristics of papillary growth. The tumor cells exhibited diffuse and intense immunoreactivity to cytokeratins and neural cell adhesion molecule. The tumor expressed abundant levels of transthyretin (prealbumin) and appeared ependymal in nature, with numerous microlumens delineated by punctate and ring-like patterns in epithelial membrane antigen staining. Reactivity to synaptophysin and glial fibrillary acidic protein was observed only in the infiltrated non-neoplastic pineal parenchyma. These histological characteristics matched the description of the recently reported papillary tumor of the pineal region thought to originate from the specialized ependyma of the subcommissural organ (SCO). Transthyretin expression of the present case further supports the likelihood of SCO origin, as transthyretin is one of the proteins presumed to be secreted by human SCO.","author":[{"dropping-particle":"","family":"Shibahara","given":"Junji","non-dropping-particle":"","parse-names":false,"suffix":""},{"dropping-particle":"","family":"Todo","given":"Tomoki","non-dropping-particle":"","parse-names":false,"suffix":""},{"dropping-particle":"","family":"Morita","given":"Akio","non-dropping-particle":"","parse-names":false,"suffix":""},{"dropping-particle":"","family":"Mori","given":"Harushi","non-dropping-particle":"","parse-names":false,"suffix":""},{"dropping-particle":"","family":"Aoki","given":"Shigeki","non-dropping-particle":"","parse-names":false,"suffix":""},{"dropping-particle":"","family":"Fukayama","given":"Masashi","non-dropping-particle":"","parse-names":false,"suffix":""}],"container-title":"Acta Neuropathologica","id":"ITEM-2","issue":"4","issued":{"date-parts":[["2004","10","19"]]},"page":"337-340","title":"Papillary neuroepithelial tumor of the pineal region. A case report","type":"article-journal","volume":"108"},"uris":["http://www.mendeley.com/documents/?uuid=10187037-26b3-3a4c-a55e-d15e8901bcc2"]},{"id":"ITEM-3","itemData":{"PMID":"12657936","abstract":"Primary papillary tumors of the central nervous system are rare. We have encountered a series of six papillary tumors of the pineal region with distinctive features that appear to represent a clinicopathologic entity. The tumors occurred in four women and two men, ranging in age from 19 to 53 years. Imaging studies showed a large well-circumscribed mass in the pineal region. The tumors were characterized by an epithelial-like growth pattern, in which the vessels were covered by a layer of tumoral cells. In papillary areas, the neoplastic cells were large, columnar or cuboidal, with a clear cytoplasm. Nuclei, round or infolded, were found generally at the basal pole of tumoral cells. Immunohistochemically, the tumor cells showed strong staining for cytokeratin, S-100 protein, neuron-specific enolase, and vimentin but only weak or no staining for epithelial membrane antigen and glial fibrillary acid protein. Ultrastructural examination of two cases revealed abundant rough endoplasmic reticulum with distended cisternae filled with secretory product, microvilli, and perinuclear intermediate filaments. The morphofunctional features of these papillary tumors of the pineal region, remarkably uniform within this series, are similar to those described for ependymal cells of the subcommissural organ, and the papillary tumors of the pineal region may be derived from these specialized ependymocytes.","author":[{"dropping-particle":"","family":"Jouvet","given":"Anne","non-dropping-particle":"","parse-names":false,"suffix":""},{"dropping-particle":"","family":"Fauchon","given":"François","non-dropping-particle":"","parse-names":false,"suffix":""},{"dropping-particle":"","family":"Liberski","given":"Pawel","non-dropping-particle":"","parse-names":false,"suffix":""},{"dropping-particle":"","family":"Saint-Pierre","given":"Ghislaine","non-dropping-particle":"","parse-names":false,"suffix":""},{"dropping-particle":"","family":"Didier-Bazes","given":"Marianne","non-dropping-particle":"","parse-names":false,"suffix":""},{"dropping-particle":"","family":"Heitzmann","given":"Anna","non-dropping-particle":"","parse-names":false,"suffix":""},{"dropping-particle":"","family":"Delisle","given":"Marie-Bernadette","non-dropping-particle":"","parse-names":false,"suffix":""},{"dropping-particle":"","family":"Biassette","given":"Homa Adle","non-dropping-particle":"","parse-names":false,"suffix":""},{"dropping-particle":"","family":"Vincent","given":"Sylvie","non-dropping-particle":"","parse-names":false,"suffix":""},{"dropping-particle":"","family":"Mikol","given":"Jacqueline","non-dropping-particle":"","parse-names":false,"suffix":""},{"dropping-particle":"","family":"Streichenberger","given":"Nathalie","non-dropping-particle":"","parse-names":false,"suffix":""},{"dropping-particle":"","family":"Ahboucha","given":"Samir","non-dropping-particle":"","parse-names":false,"suffix":""},{"dropping-particle":"","family":"Brisson","given":"Christine","non-dropping-particle":"","parse-names":false,"suffix":""},{"dropping-particle":"","family":"Belin","given":"Marie-Françoise","non-dropping-particle":"","parse-names":false,"suffix":""},{"dropping-particle":"","family":"Fèvre-Montange","given":"Michelle","non-dropping-particle":"","parse-names":false,"suffix":""}],"container-title":"The American journal of surgical pathology","id":"ITEM-3","issue":"4","issued":{"date-parts":[["2003","4"]]},"page":"505-12","title":"Papillary tumor of the pineal region.","type":"article-journal","volume":"27"},"uris":["http://www.mendeley.com/documents/?uuid=8aa7872e-d1b7-301a-a22d-20dadd315076"]},{"id":"ITEM-4","itemData":{"DOI":"10.1111/j.1365-2990.2006.00723.x","PMID":"16640646","abstract":"The histopathology of papillary tumours of the pineal region (PTPR) closely resembles that of ependymomas and choroid plexus tumours. Therefore, immunohistochemical staining profiles were investigated in a series of 15 PTPR. In addition to cytokeratin, synaptophysin and glial fibrillary acidic protein expression, PTPR were examined for the presence of dot- or ring-like epithelial membrane antigen (EMA) immunoreactivity typically encountered in ependymoma, staining for inwardly rectifying potassium channel Kir7.1 and stanniocalcin-1 (specifically expressed in choroid plexus tumours) as well as microtubule-associated protein-2 (MAP-2). Furthermore, comparative genomic hybridization was performed in five PTPR. Cytokeratin was expressed in all PTPR examined, whereas glial fibrillary acidic protein and synaptophysin staining were absent. Dot- or ring-like EMA immunoreactivity was only observed in 1 out of 15 PTPR. Membranous Kir7.1 and cytoplasmic stanniocalcin-1 staining were present in the minority of PTPR (3/15 and 4/15, respectively). In contrast, MAP-2 immunoreactivity was encountered in 13 out of 15 PTPR, but was significantly less frequently observed in a series of choroid plexus tumours (7/37). PTPR mainly presented with chromosomal losses affecting chromosomes 10 (4/5 cases) and 22q (3/5 cases) as well as gains on chromosomes 4 (4/5 cases), 8 (3/5 cases), 9 (3/5 cases) and 12 (3/5 cases). To conclude, the majority of PTPR can be distinguished from ependymomas and choroid plexus tumours by absent staining for epithelial membrane antigen, Kir7.1 and staniocalcin-1 as well as the presence of distinct MAP-2 immunoreactivity. Antibodies directed against these antigens are thus expected to be valuable markers in the diagnosis of papillary tumours located in the vicinity of the third ventricle.","author":[{"dropping-particle":"","family":"Hasselblatt","given":"M.","non-dropping-particle":"","parse-names":false,"suffix":""},{"dropping-particle":"","family":"Blumcke","given":"I.","non-dropping-particle":"","parse-names":false,"suffix":""},{"dropping-particle":"","family":"Jeibmann","given":"A.","non-dropping-particle":"","parse-names":false,"suffix":""},{"dropping-particle":"","family":"Rickert","given":"C. H.","non-dropping-particle":"","parse-names":false,"suffix":""},{"dropping-particle":"","family":"Jouvet","given":"A.","non-dropping-particle":"","parse-names":false,"suffix":""},{"dropping-particle":"","family":"Nes","given":"J. A. P.","non-dropping-particle":"van de","parse-names":false,"suffix":""},{"dropping-particle":"","family":"Kuchelmeister","given":"K.","non-dropping-particle":"","parse-names":false,"suffix":""},{"dropping-particle":"","family":"Brunn","given":"A.","non-dropping-particle":"","parse-names":false,"suffix":""},{"dropping-particle":"","family":"Fevre-Montange","given":"M.","non-dropping-particle":"","parse-names":false,"suffix":""},{"dropping-particle":"","family":"Paulus","given":"W.","non-dropping-particle":"","parse-names":false,"suffix":""}],"container-title":"Neuropathology and Applied Neurobiology","id":"ITEM-4","issue":"3","issued":{"date-parts":[["2006","6"]]},"page":"278-283","title":"Immunohistochemical profile and chromosomal imbalances in papillary tumours of the pineal region","type":"article-journal","volume":"32"},"uris":["http://www.mendeley.com/documents/?uuid=16d4e2b1-4c2c-37c2-8aaa-2240e4ffd2c0"]}],"mendeley":{"formattedCitation":"(24–27)","plainTextFormattedCitation":"(24–27)","previouslyFormattedCitation":"(24–27)"},"properties":{"noteIndex":0},"schema":"https://github.com/citation-style-language/schema/raw/master/csl-citation.json"}</w:instrText>
      </w:r>
      <w:r w:rsidRPr="00E50CE1">
        <w:rPr>
          <w:rFonts w:ascii="Times New Roman" w:eastAsia="Times New Roman" w:hAnsi="Times New Roman" w:cs="Times New Roman"/>
          <w:sz w:val="24"/>
          <w:szCs w:val="24"/>
          <w:vertAlign w:val="superscript"/>
          <w:lang w:val="en-GB" w:eastAsia="en-GB"/>
        </w:rPr>
        <w:fldChar w:fldCharType="separate"/>
      </w:r>
      <w:r w:rsidRPr="00E50CE1">
        <w:rPr>
          <w:rFonts w:ascii="Times New Roman" w:eastAsia="Times New Roman" w:hAnsi="Times New Roman" w:cs="Times New Roman"/>
          <w:noProof/>
          <w:sz w:val="24"/>
          <w:szCs w:val="24"/>
          <w:vertAlign w:val="superscript"/>
          <w:lang w:val="en-GB" w:eastAsia="en-GB"/>
        </w:rPr>
        <w:t>(24–27)</w:t>
      </w:r>
      <w:r w:rsidRPr="00E50CE1">
        <w:rPr>
          <w:rFonts w:ascii="Times New Roman" w:eastAsia="Times New Roman" w:hAnsi="Times New Roman" w:cs="Times New Roman"/>
          <w:sz w:val="24"/>
          <w:szCs w:val="24"/>
          <w:vertAlign w:val="superscript"/>
          <w:lang w:val="en-GB" w:eastAsia="en-GB"/>
        </w:rPr>
        <w:fldChar w:fldCharType="end"/>
      </w:r>
      <w:r w:rsidRPr="00E50CE1">
        <w:rPr>
          <w:rFonts w:ascii="Times New Roman" w:eastAsia="Times New Roman" w:hAnsi="Times New Roman" w:cs="Times New Roman"/>
          <w:sz w:val="24"/>
          <w:szCs w:val="24"/>
          <w:lang w:val="en-GB" w:eastAsia="en-GB"/>
        </w:rPr>
        <w:t xml:space="preserve"> </w:t>
      </w:r>
    </w:p>
    <w:p w:rsidR="00433B6E" w:rsidRPr="00E50CE1" w:rsidRDefault="00433B6E" w:rsidP="00433B6E">
      <w:pPr>
        <w:spacing w:after="200" w:line="480" w:lineRule="auto"/>
        <w:jc w:val="both"/>
        <w:rPr>
          <w:rFonts w:ascii="Times New Roman" w:eastAsia="Times New Roman" w:hAnsi="Times New Roman" w:cs="Times New Roman"/>
          <w:sz w:val="24"/>
          <w:szCs w:val="24"/>
          <w:lang w:val="en-GB" w:eastAsia="en-GB"/>
        </w:rPr>
      </w:pPr>
      <w:r w:rsidRPr="00E50CE1">
        <w:rPr>
          <w:rFonts w:ascii="Times New Roman" w:eastAsia="Times New Roman" w:hAnsi="Times New Roman" w:cs="Times New Roman"/>
          <w:sz w:val="24"/>
          <w:szCs w:val="24"/>
          <w:lang w:val="en-GB" w:eastAsia="en-GB"/>
        </w:rPr>
        <w:t>There is no consensus regarding adjuvant treatment in atypical plexus choroid tumours though adjuvant care after subtotal resection has also been associated with good post-operative recovery and favourable surgical outcomes.</w:t>
      </w:r>
      <w:r w:rsidRPr="00E50CE1">
        <w:rPr>
          <w:rFonts w:ascii="Times New Roman" w:eastAsia="Times New Roman" w:hAnsi="Times New Roman" w:cs="Times New Roman"/>
          <w:sz w:val="24"/>
          <w:szCs w:val="24"/>
          <w:vertAlign w:val="superscript"/>
          <w:lang w:val="en-GB" w:eastAsia="en-GB"/>
        </w:rPr>
        <w:fldChar w:fldCharType="begin" w:fldLock="1"/>
      </w:r>
      <w:r w:rsidRPr="00E50CE1">
        <w:rPr>
          <w:rFonts w:ascii="Times New Roman" w:eastAsia="Times New Roman" w:hAnsi="Times New Roman" w:cs="Times New Roman"/>
          <w:sz w:val="24"/>
          <w:szCs w:val="24"/>
          <w:vertAlign w:val="superscript"/>
          <w:lang w:val="en-GB" w:eastAsia="en-GB"/>
        </w:rPr>
        <w:instrText xml:space="preserve">ADDIN CSL_CITATION {"citationItems":[{"id":"ITEM-1","itemData":{"DOI":"10.1007/s00701-019-03832-5","PMID":"30783805","abstract":"BACKGROUND Choroid plexus tumors are rare entities. Resection is the mainstay of treatment in grade I and grade II tumors and adjuvant treatment is usually reserved for the less frequent choroid plexus carcinoma (CPC). Outcome is not only related to their histological grade but also dependent on their size, location, and presence of often multifactorial disturbances of cerebrospinal fluid (CSF) circulation. METHODS Retrospective analysis of 36 consecutive patients operated on a choroid plexus tumor at our institution in a mixed pediatric and adult population between 1991 and 2016. RESULTS Twenty-one CPP, 11 atypical choroid plexus papillomas (aCPP), and four CPC were encountered in 17 children and 19 adults. Regardless of histological grading, gross-total resection (GTR) could be achieved in 91.7% of patients. Tumor recurrence (25.0%) was significantly associated with histological grading (p = 0.004), subtotal resection (p = 0.002), and intraoperatively evident zones of tumor infiltration (p = 0.001). Adjuvant therapy was performed in 19.4% of patients, mainly diagnosed with CPC. The 5-year overall survival rate was 95.2% for CPP and 100.0% for both aCPP and CPC. Survival was related to the extent of resection (p = 0.001), tumor progression (p = 0.04), and the presence of leptomeningeal metastases (p = 0.002). Even after resection, either ventricular or subdural shunting was required in 25.0% of patients. CONCLUSIONS We could confirm that GTR is crucial for treatment of choroid plexus tumors. Parenchymal tumor infiltration as detected intraoperatively was associated with the extent of resection and not limited to CPC. CSF disturbances mandating treatment may persist after resection.","author":[{"dropping-particle":"","family":"Hosmann","given":"Arthur","non-dropping-particle":"","parse-names":false,"suffix":""},{"dropping-particle":"","family":"Hinker","given":"Felix","non-dropping-particle":"","parse-names":false,"suffix":""},{"dropping-particle":"","family":"Dorfer","given":"Christian","non-dropping-particle":"","parse-names":false,"suffix":""},{"dropping-particle":"","family":"Slavc","given":"Irene","non-dropping-particle":"","parse-names":false,"suffix":""},{"dropping-particle":"","family":"Haberler","given":"Christine","non-dropping-particle":"","parse-names":false,"suffix":""},{"dropping-particle":"","family":"Dieckmann","given":"Karin","non-dropping-particle":"","parse-names":false,"suffix":""},{"dropping-particle":"","family":"Knosp","given":"Engelbert","non-dropping-particle":"","parse-names":false,"suffix":""},{"dropping-particle":"","family":"Czech","given":"Thomas","non-dropping-particle":"","parse-names":false,"suffix":""}],"container-title":"Acta neurochirurgica","id":"ITEM-1","issue":"4","issued":{"date-parts":[["2019","4","19"]]},"page":"745-754","title":"Management of choroid plexus tumors-an institutional experience.","type":"article-journal","volume":"161"},"uris":["http://www.mendeley.com/documents/?uuid=18eca838-d421-3aa9-a53a-a118c65e30cf"]},{"id":"ITEM-2","itemData":{"DOI":"10.4103/0366-6999.247195","PMID":"30539906","abstract":"Background Decision-making concerning the treatment of choroid plexus tumor (CPT) in pediatric patients remains a topic of considerable debate. The aim of this work was to describe clinical features and prognostic risk factors of CPT in the pediatric population and to provide theoretical opinions regarding clinical decisions for CPT. Methods The data of 96 patients with CPT and younger than 14 years were retrospectively analyzed. Clinical characteristics such as pathological type of CPTs, rate and severity of hydrocephalus, treatment and outcome, and recurrence were investigated. For categorical variables, the Pearson's Chi-square test was performed. The Mann-Whitney U-test was used for comparisons between nonnormally distributed parameters. Log-rank test was used for progression-free survival (PFS). Results The study included 70 choroid plexus papilloma (CPP) cases, 17 atypical choroid plexus papilloma (aCPP) cases, and 9 choroid plexus carcinoma (CPC) cases. Compared with patients with CPP or aCPP, patients with CPC had a shorter disease course (median: CPP, 4 months; aCPP, 2 months; CPC, 1 month; H: 23.5, P &lt; 0.001), higher rate of acute hydrocephalus (CPP, 27.1%; aCPP, 52.9%; CPC, 77.8%; χ2 = 10.9, P &lt; 0.05), and lower incidence of cure rate (CPP, 85.7%; aCPP, 70.5%; CPC, 33.3%; χ2 = 13.5, P &lt; 0.05). The severity of hydrocephalus with tumor in the lateral or third ventricle was significantly higher than that with tumors in the fourth ventricle (severe hydrocephalus: lateral ventricle, 51.7%; third ventricle, 47.0%; fourth ventricle, 11.1%; χ2 = 26.0, P &lt; 0.001). Patients with gross total surgical resection had no better PFS than those with partial resection because of the use of adjuvant therapy in the latter (χ2 = 4.0, P &gt; 0.05). Patients with CPC experienced shorter time for recurrence than those with CPP or aCPP (χ2 = 40.1, P &lt; 0.0001). Conclusions Our results indicated that CPP in the fourth ventricle could trigger serious clinical symptoms at an early stage, requiring early intervention. Adjuvant treatment might be necessary for patients with partially resected CPP, aCPP, and CPC to achieve a favorable outcome. </w:instrText>
      </w:r>
      <w:r w:rsidRPr="00E50CE1">
        <w:rPr>
          <w:rFonts w:ascii="MS Gothic" w:eastAsia="MS Gothic" w:hAnsi="MS Gothic" w:cs="MS Gothic" w:hint="eastAsia"/>
          <w:sz w:val="24"/>
          <w:szCs w:val="24"/>
          <w:vertAlign w:val="superscript"/>
          <w:lang w:val="en-GB" w:eastAsia="en-GB"/>
        </w:rPr>
        <w:instrText>小儿脉</w:instrText>
      </w:r>
      <w:r w:rsidRPr="00E50CE1">
        <w:rPr>
          <w:rFonts w:ascii="Microsoft JhengHei" w:eastAsia="Microsoft JhengHei" w:hAnsi="Microsoft JhengHei" w:cs="Microsoft JhengHei" w:hint="eastAsia"/>
          <w:sz w:val="24"/>
          <w:szCs w:val="24"/>
          <w:vertAlign w:val="superscript"/>
          <w:lang w:val="en-GB" w:eastAsia="en-GB"/>
        </w:rPr>
        <w:instrText>络丛肿瘤的临床特征及预后危险因素的相关研究摘要背景：目前针对小儿脉络丛肿瘤的诊疗决策仍具争议。本研究通过探讨小儿脉络丛肿瘤的临床资料，为小儿脉络丛肿瘤的诊疗决策提供理论基础。</w:instrText>
      </w:r>
      <w:r w:rsidRPr="00E50CE1">
        <w:rPr>
          <w:rFonts w:ascii="Times New Roman" w:eastAsia="Times New Roman" w:hAnsi="Times New Roman" w:cs="Times New Roman"/>
          <w:sz w:val="24"/>
          <w:szCs w:val="24"/>
          <w:vertAlign w:val="superscript"/>
          <w:lang w:val="en-GB" w:eastAsia="en-GB"/>
        </w:rPr>
        <w:instrText xml:space="preserve"> </w:instrText>
      </w:r>
      <w:r w:rsidRPr="00E50CE1">
        <w:rPr>
          <w:rFonts w:ascii="MS Gothic" w:eastAsia="MS Gothic" w:hAnsi="MS Gothic" w:cs="MS Gothic" w:hint="eastAsia"/>
          <w:sz w:val="24"/>
          <w:szCs w:val="24"/>
          <w:vertAlign w:val="superscript"/>
          <w:lang w:val="en-GB" w:eastAsia="en-GB"/>
        </w:rPr>
        <w:instrText>方法：</w:instrText>
      </w:r>
      <w:r w:rsidRPr="00E50CE1">
        <w:rPr>
          <w:rFonts w:ascii="Microsoft JhengHei" w:eastAsia="Microsoft JhengHei" w:hAnsi="Microsoft JhengHei" w:cs="Microsoft JhengHei" w:hint="eastAsia"/>
          <w:sz w:val="24"/>
          <w:szCs w:val="24"/>
          <w:vertAlign w:val="superscript"/>
          <w:lang w:val="en-GB" w:eastAsia="en-GB"/>
        </w:rPr>
        <w:instrText>对本中心</w:instrText>
      </w:r>
      <w:r w:rsidRPr="00E50CE1">
        <w:rPr>
          <w:rFonts w:ascii="Times New Roman" w:eastAsia="Times New Roman" w:hAnsi="Times New Roman" w:cs="Times New Roman"/>
          <w:sz w:val="24"/>
          <w:szCs w:val="24"/>
          <w:vertAlign w:val="superscript"/>
          <w:lang w:val="en-GB" w:eastAsia="en-GB"/>
        </w:rPr>
        <w:instrText>96</w:instrText>
      </w:r>
      <w:r w:rsidRPr="00E50CE1">
        <w:rPr>
          <w:rFonts w:ascii="MS Gothic" w:eastAsia="MS Gothic" w:hAnsi="MS Gothic" w:cs="MS Gothic" w:hint="eastAsia"/>
          <w:sz w:val="24"/>
          <w:szCs w:val="24"/>
          <w:vertAlign w:val="superscript"/>
          <w:lang w:val="en-GB" w:eastAsia="en-GB"/>
        </w:rPr>
        <w:instrText>例小于</w:instrText>
      </w:r>
      <w:r w:rsidRPr="00E50CE1">
        <w:rPr>
          <w:rFonts w:ascii="Times New Roman" w:eastAsia="Times New Roman" w:hAnsi="Times New Roman" w:cs="Times New Roman"/>
          <w:sz w:val="24"/>
          <w:szCs w:val="24"/>
          <w:vertAlign w:val="superscript"/>
          <w:lang w:val="en-GB" w:eastAsia="en-GB"/>
        </w:rPr>
        <w:instrText>14</w:instrText>
      </w:r>
      <w:r w:rsidRPr="00E50CE1">
        <w:rPr>
          <w:rFonts w:ascii="MS Gothic" w:eastAsia="MS Gothic" w:hAnsi="MS Gothic" w:cs="MS Gothic" w:hint="eastAsia"/>
          <w:sz w:val="24"/>
          <w:szCs w:val="24"/>
          <w:vertAlign w:val="superscript"/>
          <w:lang w:val="en-GB" w:eastAsia="en-GB"/>
        </w:rPr>
        <w:instrText>周</w:instrText>
      </w:r>
      <w:r w:rsidRPr="00E50CE1">
        <w:rPr>
          <w:rFonts w:ascii="Microsoft JhengHei" w:eastAsia="Microsoft JhengHei" w:hAnsi="Microsoft JhengHei" w:cs="Microsoft JhengHei" w:hint="eastAsia"/>
          <w:sz w:val="24"/>
          <w:szCs w:val="24"/>
          <w:vertAlign w:val="superscript"/>
          <w:lang w:val="en-GB" w:eastAsia="en-GB"/>
        </w:rPr>
        <w:instrText>岁的脉络丛乳头状肿瘤患者的临床资料进行回顾性分析。本研究纳入包括脉络丛乳头状瘤患者的病理分型、脑积水的发病率以及严</w:instrText>
      </w:r>
      <w:r w:rsidRPr="00E50CE1">
        <w:rPr>
          <w:rFonts w:ascii="MS Gothic" w:eastAsia="MS Gothic" w:hAnsi="MS Gothic" w:cs="MS Gothic" w:hint="eastAsia"/>
          <w:sz w:val="24"/>
          <w:szCs w:val="24"/>
          <w:vertAlign w:val="superscript"/>
          <w:lang w:val="en-GB" w:eastAsia="en-GB"/>
        </w:rPr>
        <w:instrText>重程度、治</w:instrText>
      </w:r>
      <w:r w:rsidRPr="00E50CE1">
        <w:rPr>
          <w:rFonts w:ascii="Microsoft JhengHei" w:eastAsia="Microsoft JhengHei" w:hAnsi="Microsoft JhengHei" w:cs="Microsoft JhengHei" w:hint="eastAsia"/>
          <w:sz w:val="24"/>
          <w:szCs w:val="24"/>
          <w:vertAlign w:val="superscript"/>
          <w:lang w:val="en-GB" w:eastAsia="en-GB"/>
        </w:rPr>
        <w:instrText>疗方式、预后以及复发情况在内的临床资料进行统计分析。</w:instrText>
      </w:r>
      <w:r w:rsidRPr="00E50CE1">
        <w:rPr>
          <w:rFonts w:ascii="Times New Roman" w:eastAsia="Times New Roman" w:hAnsi="Times New Roman" w:cs="Times New Roman"/>
          <w:sz w:val="24"/>
          <w:szCs w:val="24"/>
          <w:vertAlign w:val="superscript"/>
          <w:lang w:val="en-GB" w:eastAsia="en-GB"/>
        </w:rPr>
        <w:instrText xml:space="preserve"> </w:instrText>
      </w:r>
      <w:r w:rsidRPr="00E50CE1">
        <w:rPr>
          <w:rFonts w:ascii="MS Gothic" w:eastAsia="MS Gothic" w:hAnsi="MS Gothic" w:cs="MS Gothic" w:hint="eastAsia"/>
          <w:sz w:val="24"/>
          <w:szCs w:val="24"/>
          <w:vertAlign w:val="superscript"/>
          <w:lang w:val="en-GB" w:eastAsia="en-GB"/>
        </w:rPr>
        <w:instrText>皮</w:instrText>
      </w:r>
      <w:r w:rsidRPr="00E50CE1">
        <w:rPr>
          <w:rFonts w:ascii="Malgun Gothic" w:eastAsia="Malgun Gothic" w:hAnsi="Malgun Gothic" w:cs="Malgun Gothic" w:hint="eastAsia"/>
          <w:sz w:val="24"/>
          <w:szCs w:val="24"/>
          <w:vertAlign w:val="superscript"/>
          <w:lang w:val="en-GB" w:eastAsia="en-GB"/>
        </w:rPr>
        <w:instrText>尔</w:instrText>
      </w:r>
      <w:r w:rsidRPr="00E50CE1">
        <w:rPr>
          <w:rFonts w:ascii="Microsoft JhengHei" w:eastAsia="Microsoft JhengHei" w:hAnsi="Microsoft JhengHei" w:cs="Microsoft JhengHei" w:hint="eastAsia"/>
          <w:sz w:val="24"/>
          <w:szCs w:val="24"/>
          <w:vertAlign w:val="superscript"/>
          <w:lang w:val="en-GB" w:eastAsia="en-GB"/>
        </w:rPr>
        <w:instrText>逊卡方检验用于分类数据。曼</w:instrText>
      </w:r>
      <w:r w:rsidRPr="00E50CE1">
        <w:rPr>
          <w:rFonts w:ascii="Times New Roman" w:eastAsia="Times New Roman" w:hAnsi="Times New Roman" w:cs="Times New Roman"/>
          <w:sz w:val="24"/>
          <w:szCs w:val="24"/>
          <w:vertAlign w:val="superscript"/>
          <w:lang w:val="en-GB" w:eastAsia="en-GB"/>
        </w:rPr>
        <w:instrText>-</w:instrText>
      </w:r>
      <w:r w:rsidRPr="00E50CE1">
        <w:rPr>
          <w:rFonts w:ascii="MS Gothic" w:eastAsia="MS Gothic" w:hAnsi="MS Gothic" w:cs="MS Gothic" w:hint="eastAsia"/>
          <w:sz w:val="24"/>
          <w:szCs w:val="24"/>
          <w:vertAlign w:val="superscript"/>
          <w:lang w:val="en-GB" w:eastAsia="en-GB"/>
        </w:rPr>
        <w:instrText>惠特尼秩和</w:instrText>
      </w:r>
      <w:r w:rsidRPr="00E50CE1">
        <w:rPr>
          <w:rFonts w:ascii="Microsoft JhengHei" w:eastAsia="Microsoft JhengHei" w:hAnsi="Microsoft JhengHei" w:cs="Microsoft JhengHei" w:hint="eastAsia"/>
          <w:sz w:val="24"/>
          <w:szCs w:val="24"/>
          <w:vertAlign w:val="superscript"/>
          <w:lang w:val="en-GB" w:eastAsia="en-GB"/>
        </w:rPr>
        <w:instrText>检验用于非正态分布的数据。时序检验用于无进展生存曲线。</w:instrText>
      </w:r>
      <w:r w:rsidRPr="00E50CE1">
        <w:rPr>
          <w:rFonts w:ascii="Times New Roman" w:eastAsia="Times New Roman" w:hAnsi="Times New Roman" w:cs="Times New Roman"/>
          <w:sz w:val="24"/>
          <w:szCs w:val="24"/>
          <w:vertAlign w:val="superscript"/>
          <w:lang w:val="en-GB" w:eastAsia="en-GB"/>
        </w:rPr>
        <w:instrText xml:space="preserve"> </w:instrText>
      </w:r>
      <w:r w:rsidRPr="00E50CE1">
        <w:rPr>
          <w:rFonts w:ascii="Microsoft JhengHei" w:eastAsia="Microsoft JhengHei" w:hAnsi="Microsoft JhengHei" w:cs="Microsoft JhengHei" w:hint="eastAsia"/>
          <w:sz w:val="24"/>
          <w:szCs w:val="24"/>
          <w:vertAlign w:val="superscript"/>
          <w:lang w:val="en-GB" w:eastAsia="en-GB"/>
        </w:rPr>
        <w:instrText>结果：本研究共入组</w:instrText>
      </w:r>
      <w:r w:rsidRPr="00E50CE1">
        <w:rPr>
          <w:rFonts w:ascii="Times New Roman" w:eastAsia="Times New Roman" w:hAnsi="Times New Roman" w:cs="Times New Roman"/>
          <w:sz w:val="24"/>
          <w:szCs w:val="24"/>
          <w:vertAlign w:val="superscript"/>
          <w:lang w:val="en-GB" w:eastAsia="en-GB"/>
        </w:rPr>
        <w:instrText>70</w:instrText>
      </w:r>
      <w:r w:rsidRPr="00E50CE1">
        <w:rPr>
          <w:rFonts w:ascii="MS Gothic" w:eastAsia="MS Gothic" w:hAnsi="MS Gothic" w:cs="MS Gothic" w:hint="eastAsia"/>
          <w:sz w:val="24"/>
          <w:szCs w:val="24"/>
          <w:vertAlign w:val="superscript"/>
          <w:lang w:val="en-GB" w:eastAsia="en-GB"/>
        </w:rPr>
        <w:instrText>例脉</w:instrText>
      </w:r>
      <w:r w:rsidRPr="00E50CE1">
        <w:rPr>
          <w:rFonts w:ascii="Microsoft JhengHei" w:eastAsia="Microsoft JhengHei" w:hAnsi="Microsoft JhengHei" w:cs="Microsoft JhengHei" w:hint="eastAsia"/>
          <w:sz w:val="24"/>
          <w:szCs w:val="24"/>
          <w:vertAlign w:val="superscript"/>
          <w:lang w:val="en-GB" w:eastAsia="en-GB"/>
        </w:rPr>
        <w:instrText>络丛乳头状瘤患者、</w:instrText>
      </w:r>
      <w:r w:rsidRPr="00E50CE1">
        <w:rPr>
          <w:rFonts w:ascii="Times New Roman" w:eastAsia="Times New Roman" w:hAnsi="Times New Roman" w:cs="Times New Roman"/>
          <w:sz w:val="24"/>
          <w:szCs w:val="24"/>
          <w:vertAlign w:val="superscript"/>
          <w:lang w:val="en-GB" w:eastAsia="en-GB"/>
        </w:rPr>
        <w:instrText>17</w:instrText>
      </w:r>
      <w:r w:rsidRPr="00E50CE1">
        <w:rPr>
          <w:rFonts w:ascii="MS Gothic" w:eastAsia="MS Gothic" w:hAnsi="MS Gothic" w:cs="MS Gothic" w:hint="eastAsia"/>
          <w:sz w:val="24"/>
          <w:szCs w:val="24"/>
          <w:vertAlign w:val="superscript"/>
          <w:lang w:val="en-GB" w:eastAsia="en-GB"/>
        </w:rPr>
        <w:instrText>例非典型脉</w:instrText>
      </w:r>
      <w:r w:rsidRPr="00E50CE1">
        <w:rPr>
          <w:rFonts w:ascii="Microsoft JhengHei" w:eastAsia="Microsoft JhengHei" w:hAnsi="Microsoft JhengHei" w:cs="Microsoft JhengHei" w:hint="eastAsia"/>
          <w:sz w:val="24"/>
          <w:szCs w:val="24"/>
          <w:vertAlign w:val="superscript"/>
          <w:lang w:val="en-GB" w:eastAsia="en-GB"/>
        </w:rPr>
        <w:instrText>络丛乳头状瘤患者和</w:instrText>
      </w:r>
      <w:r w:rsidRPr="00E50CE1">
        <w:rPr>
          <w:rFonts w:ascii="Times New Roman" w:eastAsia="Times New Roman" w:hAnsi="Times New Roman" w:cs="Times New Roman"/>
          <w:sz w:val="24"/>
          <w:szCs w:val="24"/>
          <w:vertAlign w:val="superscript"/>
          <w:lang w:val="en-GB" w:eastAsia="en-GB"/>
        </w:rPr>
        <w:instrText>9</w:instrText>
      </w:r>
      <w:r w:rsidRPr="00E50CE1">
        <w:rPr>
          <w:rFonts w:ascii="MS Gothic" w:eastAsia="MS Gothic" w:hAnsi="MS Gothic" w:cs="MS Gothic" w:hint="eastAsia"/>
          <w:sz w:val="24"/>
          <w:szCs w:val="24"/>
          <w:vertAlign w:val="superscript"/>
          <w:lang w:val="en-GB" w:eastAsia="en-GB"/>
        </w:rPr>
        <w:instrText>例脉</w:instrText>
      </w:r>
      <w:r w:rsidRPr="00E50CE1">
        <w:rPr>
          <w:rFonts w:ascii="Microsoft JhengHei" w:eastAsia="Microsoft JhengHei" w:hAnsi="Microsoft JhengHei" w:cs="Microsoft JhengHei" w:hint="eastAsia"/>
          <w:sz w:val="24"/>
          <w:szCs w:val="24"/>
          <w:vertAlign w:val="superscript"/>
          <w:lang w:val="en-GB" w:eastAsia="en-GB"/>
        </w:rPr>
        <w:instrText>络丛乳头状癌患者。脉络丛乳头状癌患者较其他几种类型的患者病程更短</w:instrText>
      </w:r>
      <w:r w:rsidRPr="00E50CE1">
        <w:rPr>
          <w:rFonts w:ascii="Times New Roman" w:eastAsia="Times New Roman" w:hAnsi="Times New Roman" w:cs="Times New Roman"/>
          <w:sz w:val="24"/>
          <w:szCs w:val="24"/>
          <w:vertAlign w:val="superscript"/>
          <w:lang w:val="en-GB" w:eastAsia="en-GB"/>
        </w:rPr>
        <w:instrText>(</w:instrText>
      </w:r>
      <w:r w:rsidRPr="00E50CE1">
        <w:rPr>
          <w:rFonts w:ascii="MS Gothic" w:eastAsia="MS Gothic" w:hAnsi="MS Gothic" w:cs="MS Gothic" w:hint="eastAsia"/>
          <w:sz w:val="24"/>
          <w:szCs w:val="24"/>
          <w:vertAlign w:val="superscript"/>
          <w:lang w:val="en-GB" w:eastAsia="en-GB"/>
        </w:rPr>
        <w:instrText>中位数</w:instrText>
      </w:r>
      <w:r w:rsidRPr="00E50CE1">
        <w:rPr>
          <w:rFonts w:ascii="Times New Roman" w:eastAsia="Times New Roman" w:hAnsi="Times New Roman" w:cs="Times New Roman"/>
          <w:sz w:val="24"/>
          <w:szCs w:val="24"/>
          <w:vertAlign w:val="superscript"/>
          <w:lang w:val="en-GB" w:eastAsia="en-GB"/>
        </w:rPr>
        <w:instrText xml:space="preserve">, CPP: 4 </w:instrText>
      </w:r>
      <w:r w:rsidRPr="00E50CE1">
        <w:rPr>
          <w:rFonts w:ascii="MS Gothic" w:eastAsia="MS Gothic" w:hAnsi="MS Gothic" w:cs="MS Gothic" w:hint="eastAsia"/>
          <w:sz w:val="24"/>
          <w:szCs w:val="24"/>
          <w:vertAlign w:val="superscript"/>
          <w:lang w:val="en-GB" w:eastAsia="en-GB"/>
        </w:rPr>
        <w:instrText>月</w:instrText>
      </w:r>
      <w:r w:rsidRPr="00E50CE1">
        <w:rPr>
          <w:rFonts w:ascii="Times New Roman" w:eastAsia="Times New Roman" w:hAnsi="Times New Roman" w:cs="Times New Roman"/>
          <w:sz w:val="24"/>
          <w:szCs w:val="24"/>
          <w:vertAlign w:val="superscript"/>
          <w:lang w:val="en-GB" w:eastAsia="en-GB"/>
        </w:rPr>
        <w:instrText>; aCPP: …","author":[{"dropping-particle":"","family":"Zhou","given":"Wen-Jian-Long","non-dropping-particle":"","parse-names":false,"suffix":""},{"dropping-particle":"","family":"Wang","given":"Xi","non-dropping-particle":"","parse-names":false,"suffix":""},{"dropping-particle":"","family":"Peng","given":"Jia-Yi","non-dropping-particle":"","parse-names":false,"suffix":""},{"dropping-particle":"","family":"Ma","given":"Shun-Chang","non-dropping-particle":"","parse-names":false,"suffix":""},{"dropping-particle":"","family":"Zhang","given":"Dai-Nan","non-dropping-particle":"","parse-names":false,"suffix":""},{"dropping-particle":"","family":"Guan","given":"Xiu-Dong","non-dropping-particle":"","parse-names":false,"suffix":""},{"dropping-particle":"","family":"Diao","given":"Jin-Fu","non-dropping-particle":"","parse-names":false,"suffix":""},{"dropping-particle":"","family":"Niu","given":"Jian-Xing","non-dropping-particle":"","parse-names":false,"suffix":""},{"dropping-particle":"","family":"Li","given":"Chun-De","non-dropping-particle":"","parse-names":false,"suffix":""},{"dropping-particle":"","family":"Jia","given":"Wang","non-dropping-particle":"","parse-names":false,"suffix":""}],"container-title":"Chinese medical journal","id":"ITEM-2","issue":"24","issued":{"date-parts":[["2018","12","20"]]},"page":"2938-2946","title":"Clinical Features and Prognostic Risk Factors of Choroid Plexus Tumors in Children.","type":"article-journal","volume":"131"},"uris":["http://www.mendeley.com/documents/?uuid=aae28592-1137-395e-aa9d-bd091ca28e3f"]},{"id":"ITEM-3","itemData":{"DOI":"10.3171/2018.12.PEDS18453","PMID":"30797210","abstract":"Choroid plexus papillomas (CPPs) are rare, benign tumors that can arise in young children. Most pediatric patients present with signs of hydrocephalus and require immediate treatment. The natural history of choroid plexus tumors in children without hydrocephalus is poorly defined. In this report, the authors present the very rare case of a child without hydrocephalus but with two intraventricular choroid plexus tumors discovered shortly after birth. Initial imaging had been performed for seizures and showed agenesis of the corpus callosum and enhancing tumors in the third and left lateral ventricles. Sequential imaging demonstrated rapid growth of both tumors. The lateral tumor was removed when the child was 3 months of age. A histological examination of the specimen showed benign features with an elevated mitotic rate. Given the patient's age of under 3 years, the diagnosis was WHO grade I CPP. The third ventricle tumor grew rapidly. A second surgery was performed and this tumor was resected. Again, the pathological diagnosis was WHO grade I CPP. The authors present this rare case and discuss the current relevant literature.","author":[{"dropping-particle":"","family":"Misiolek","given":"Kalina A","non-dropping-particle":"","parse-names":false,"suffix":""},{"dropping-particle":"","family":"Osborn","given":"Zachary G","non-dropping-particle":"","parse-names":false,"suffix":""},{"dropping-particle":"","family":"Hauser","given":"Natalie","non-dropping-particle":"","parse-names":false,"suffix":""},{"dropping-particle":"","family":"Thomas","given":"Diana","non-dropping-particle":"","parse-names":false,"suffix":""},{"dropping-particle":"","family":"Goodman","given":"Jessica F","non-dropping-particle":"","parse-names":false,"suffix":""},{"dropping-particle":"","family":"Fulkerson","given":"Daniel H","non-dropping-particle":"","parse-names":false,"suffix":""}],"container-title":"Journal of neurosurgery. Pediatrics","id":"ITEM-3","issue":"5","issued":{"date-parts":[["2019","2","22"]]},"page":"1-6","title":"Rapidly growing, multifocal, benign choroid plexus tumor in an infant: case report.","type":"article-journal","volume":"23"},"uris":["http://www.mendeley.com/documents/?uuid=d2abcb6d-b75e-3e23-9b36-9d6a9dc1454f"]}],"mendeley":{"formattedCitation":"(4,16,18)","manualFormatting":"(4, 16, 18)","plainTextFormattedCitation":"(4,16,18)","previouslyFormattedCitation":"(4,16,18)"},"properties":{"noteIndex":0},"schema":"https://github.com/citation-style-language/schema/raw/master/csl-citation.json"}</w:instrText>
      </w:r>
      <w:r w:rsidRPr="00E50CE1">
        <w:rPr>
          <w:rFonts w:ascii="Times New Roman" w:eastAsia="Times New Roman" w:hAnsi="Times New Roman" w:cs="Times New Roman"/>
          <w:sz w:val="24"/>
          <w:szCs w:val="24"/>
          <w:vertAlign w:val="superscript"/>
          <w:lang w:val="en-GB" w:eastAsia="en-GB"/>
        </w:rPr>
        <w:fldChar w:fldCharType="separate"/>
      </w:r>
      <w:r w:rsidRPr="00E50CE1">
        <w:rPr>
          <w:rFonts w:ascii="Times New Roman" w:eastAsia="Times New Roman" w:hAnsi="Times New Roman" w:cs="Times New Roman"/>
          <w:noProof/>
          <w:sz w:val="24"/>
          <w:szCs w:val="24"/>
          <w:vertAlign w:val="superscript"/>
          <w:lang w:val="en-GB" w:eastAsia="en-GB"/>
        </w:rPr>
        <w:t>(4, 16, 18)</w:t>
      </w:r>
      <w:r w:rsidRPr="00E50CE1">
        <w:rPr>
          <w:rFonts w:ascii="Times New Roman" w:eastAsia="Times New Roman" w:hAnsi="Times New Roman" w:cs="Times New Roman"/>
          <w:sz w:val="24"/>
          <w:szCs w:val="24"/>
          <w:vertAlign w:val="superscript"/>
          <w:lang w:val="en-GB" w:eastAsia="en-GB"/>
        </w:rPr>
        <w:fldChar w:fldCharType="end"/>
      </w:r>
      <w:r w:rsidRPr="00E50CE1">
        <w:rPr>
          <w:rFonts w:ascii="Times New Roman" w:eastAsia="Times New Roman" w:hAnsi="Times New Roman" w:cs="Times New Roman"/>
          <w:sz w:val="24"/>
          <w:szCs w:val="24"/>
          <w:lang w:val="en-GB" w:eastAsia="en-GB"/>
        </w:rPr>
        <w:t xml:space="preserve"> Chemotherapy alone is prescribed in children younger than three years of age due to the effect of radiation on the developing brain.</w:t>
      </w:r>
      <w:r w:rsidRPr="00E50CE1">
        <w:rPr>
          <w:rFonts w:ascii="Times New Roman" w:eastAsia="Times New Roman" w:hAnsi="Times New Roman" w:cs="Times New Roman"/>
          <w:sz w:val="24"/>
          <w:szCs w:val="24"/>
          <w:vertAlign w:val="superscript"/>
          <w:lang w:val="en-GB" w:eastAsia="en-GB"/>
        </w:rPr>
        <w:fldChar w:fldCharType="begin" w:fldLock="1"/>
      </w:r>
      <w:r w:rsidRPr="00E50CE1">
        <w:rPr>
          <w:rFonts w:ascii="Times New Roman" w:eastAsia="Times New Roman" w:hAnsi="Times New Roman" w:cs="Times New Roman"/>
          <w:sz w:val="24"/>
          <w:szCs w:val="24"/>
          <w:vertAlign w:val="superscript"/>
          <w:lang w:val="en-GB" w:eastAsia="en-GB"/>
        </w:rPr>
        <w:instrText>ADDIN CSL_CITATION {"citationItems":[{"id":"ITEM-1","itemData":{"DOI":"10.1007/s11060-014-1616-x","PMID":"25270349","abstract":"Choroid plexus tumors (CPTs) are rare neoplasms of the central nervous system whose optimal management is not well defined. The Surveillance Epidemiology and End Results (SEER) Database from 1978 to 2009 was queried to define population-based outcomes for all patients with CPTs. Patient demographic data, histological classification (choroid plexus papilloma [CPP], atypical CPP [aCPP], and choroid plexus carcinoma [CPC]), extent of surgery, and use of radiation therapy (RT) as part of an initial course of therapy were analyzed for impact on overall survival (OS) and cause-specific survival (CSS). Chemotherapy data were not available within the SEER database. A total of 349 patients with CPTs were identified (120 CPCs, 26 aCPPs, and 203 CPPs). Patients with CPC presented at a younger age (median 3, mean 14.8 years) relative to CPP (median 25, mean 28.4 years; p &lt; 0.0001). Histology was a significant predictor of OS, with 5-year OS rates of 90, 77, and 58 % for CPP, aCPP, and CPC, respectively. Older age and male sex were prognostic for worse OS and CSS for CPP. Only extent of surgery had a significant impact on survival for CPC. The use of adjuvant RT in patients with CPC undergoing surgery was not associated with a significantly improved OS (p = 0.17). For patients undergoing GTR without RT as part of an initial course of therapy, estimated 5- and 10-year OS were 70 % (±7 %) and 67 % (±8 %), respectively. Prospective data are required to define the optimal combination of surgery with adjuvant therapies, including chemotherapy.","author":[{"dropping-particle":"","family":"Cannon","given":"Donald M","non-dropping-particle":"","parse-names":false,"suffix":""},{"dropping-particle":"","family":"Mohindra","given":"Pranshu","non-dropping-particle":"","parse-names":false,"suffix":""},{"dropping-particle":"","family":"Gondi","given":"Vinai","non-dropping-particle":"","parse-names":false,"suffix":""},{"dropping-particle":"","family":"Kruser","given":"Tim J","non-dropping-particle":"","parse-names":false,"suffix":""},{"dropping-particle":"","family":"Kozak","given":"Kevin R","non-dropping-particle":"","parse-names":false,"suffix":""}],"container-title":"Journal of neuro-oncology","id":"ITEM-1","issue":"1","issued":{"date-parts":[["2015","1","1"]]},"page":"151-7","title":"Choroid plexus tumor epidemiology and outcomes: implications for surgical and radiotherapeutic management.","type":"article-journal","volume":"121"},"uris":["http://www.mendeley.com/documents/?uuid=3ed4794d-75b2-36d9-a460-d5c99c998352"]}],"mendeley":{"formattedCitation":"(6)","plainTextFormattedCitation":"(6)","previouslyFormattedCitation":"(6)"},"properties":{"noteIndex":0},"schema":"https://github.com/citation-style-language/schema/raw/master/csl-citation.json"}</w:instrText>
      </w:r>
      <w:r w:rsidRPr="00E50CE1">
        <w:rPr>
          <w:rFonts w:ascii="Times New Roman" w:eastAsia="Times New Roman" w:hAnsi="Times New Roman" w:cs="Times New Roman"/>
          <w:sz w:val="24"/>
          <w:szCs w:val="24"/>
          <w:vertAlign w:val="superscript"/>
          <w:lang w:val="en-GB" w:eastAsia="en-GB"/>
        </w:rPr>
        <w:fldChar w:fldCharType="separate"/>
      </w:r>
      <w:r w:rsidRPr="00E50CE1">
        <w:rPr>
          <w:rFonts w:ascii="Times New Roman" w:eastAsia="Times New Roman" w:hAnsi="Times New Roman" w:cs="Times New Roman"/>
          <w:noProof/>
          <w:sz w:val="24"/>
          <w:szCs w:val="24"/>
          <w:vertAlign w:val="superscript"/>
          <w:lang w:val="en-GB" w:eastAsia="en-GB"/>
        </w:rPr>
        <w:t>(6)</w:t>
      </w:r>
      <w:r w:rsidRPr="00E50CE1">
        <w:rPr>
          <w:rFonts w:ascii="Times New Roman" w:eastAsia="Times New Roman" w:hAnsi="Times New Roman" w:cs="Times New Roman"/>
          <w:sz w:val="24"/>
          <w:szCs w:val="24"/>
          <w:vertAlign w:val="superscript"/>
          <w:lang w:val="en-GB" w:eastAsia="en-GB"/>
        </w:rPr>
        <w:fldChar w:fldCharType="end"/>
      </w:r>
      <w:r w:rsidRPr="00E50CE1">
        <w:rPr>
          <w:rFonts w:ascii="Times New Roman" w:eastAsia="Times New Roman" w:hAnsi="Times New Roman" w:cs="Times New Roman"/>
          <w:sz w:val="24"/>
          <w:szCs w:val="24"/>
          <w:lang w:val="en-GB" w:eastAsia="en-GB"/>
        </w:rPr>
        <w:t xml:space="preserve"> Children above the age of three can have adjuvant radiotherapy as part of their treatment.</w:t>
      </w:r>
      <w:r w:rsidRPr="00E50CE1">
        <w:rPr>
          <w:rFonts w:ascii="Times New Roman" w:eastAsia="Times New Roman" w:hAnsi="Times New Roman" w:cs="Times New Roman"/>
          <w:sz w:val="24"/>
          <w:szCs w:val="24"/>
          <w:vertAlign w:val="superscript"/>
          <w:lang w:val="en-GB" w:eastAsia="en-GB"/>
        </w:rPr>
        <w:fldChar w:fldCharType="begin" w:fldLock="1"/>
      </w:r>
      <w:r w:rsidRPr="00E50CE1">
        <w:rPr>
          <w:rFonts w:ascii="Times New Roman" w:eastAsia="Times New Roman" w:hAnsi="Times New Roman" w:cs="Times New Roman"/>
          <w:sz w:val="24"/>
          <w:szCs w:val="24"/>
          <w:vertAlign w:val="superscript"/>
          <w:lang w:val="en-GB" w:eastAsia="en-GB"/>
        </w:rPr>
        <w:instrText>ADDIN CSL_CITATION {"citationItems":[{"id":"ITEM-1","itemData":{"DOI":"10.1007/s00381-015-2697-3","PMID":"25863950","abstract":"INTRODUCTION We performed a retrospective study on clinical assessment, tumor location, radiological imaging, histopathological characteristics, and therapeutic management of 7 patients affected by choroid plexus carcinoma (CPC) or atypical choroid plexus papilloma (ACPP) who have been observed in the last 12 years. METHODS Four patients fulfilled the criteria for classification as ACPP and three cases as CPC. The median age of the patients at the diagnosis was 42 months (range 3-190 months). Except one older patient (15 years old), all patients were younger than 3 years of age. In all patients affected by ACPP, a total surgical resection was achieved. Two children relapsed 12 and 8 months following radical removal. Both of them underwent adjuvant chemotherapy (carboplatin, cyclophosphamide, etoposide, doxorubicin, and methotrexate); a complete remission was maintained in all cases. In all three patients with CPC, it was impossible to achieve complete resection at first surgery. The response to chemotherapy was variable: in one case, it was complete with complete remission following 6 months; in one case, it was partial with reduction on volume (the patient underwent second-look surgery with complete resection); in the third case, there was no response and the patient progressed and finally died with metastatic disease, 8 months after chemotherapy was started. For children with CPC, the OS was 75% at 6 years. RESULTS In our series, surgery associated with chemotherapy led to long-term survival in 4/4 patients affected by ACPP and 2/3 patients affected by CPC. Clinical results achieved in our series confirm that our therapeutic regimen is feasible and efficient as a possible adjuvant treatment for both CPC and ACPP. It also suggests that surgery has a pivotal role in the management of most children affected by CPTs.","author":[{"dropping-particle":"","family":"Passariello","given":"Annalisa","non-dropping-particle":"","parse-names":false,"suffix":""},{"dropping-particle":"","family":"Tufano","given":"Maria","non-dropping-particle":"","parse-names":false,"suffix":""},{"dropping-particle":"","family":"Spennato","given":"Pietro","non-dropping-particle":"","parse-names":false,"suffix":""},{"dropping-particle":"","family":"Quaglietta","given":"Lucia","non-dropping-particle":"","parse-names":false,"suffix":""},{"dropping-particle":"","family":"Verrico","given":"Antonio","non-dropping-particle":"","parse-names":false,"suffix":""},{"dropping-particle":"","family":"Migliorati","given":"Roberta","non-dropping-particle":"","parse-names":false,"suffix":""},{"dropping-particle":"","family":"Cinalli","given":"Giuseppe","non-dropping-particle":"","parse-names":false,"suffix":""}],"container-title":"Child's Nervous System","id":"ITEM-1","issue":"7","issued":{"date-parts":[["2015","7","12"]]},"page":"1079-1088","title":"The role of chemotherapy and surgical removal in the treatment of Choroid Plexus carcinomas and atypical papillomas","type":"article-journal","volume":"31"},"uris":["http://www.mendeley.com/documents/?uuid=6e5f5426-2ba1-3aff-892e-7e308dacfb1d"]},{"id":"ITEM-2","itemData":{"DOI":"10.1007/s11060-009-9936-y","PMID":"19543851","abstract":"Atypical choroid plexus papilloma (APP) represents a novel intermediate-grade subtype of choroid plexus tumor (CPT), the clinical outcome of which has not been described yet. We present the first analysis of a group of APP patients enrolled in the ongoing CPT-SIOP-2000 study of CPTs. A worldwide registration and a randomized trial for those patients who require chemotherapy started in 2000. For APP, maximal surgical resection was recommended. After surgery, patients who had undergone complete resection were observed, whereas patients with incompletely resected or metastasized APP were treated with six chemotherapy courses (etoposide and vincristine, combined with either carboplatin or cyclophosphamide). Risk-adapted radiotherapy was given only to patients older than 3 years of age. Of the 106 patients with a centrally confirmed CPT histology, 30 had APP, 42 CPP and 34 CPC. APP patients were significantly younger (median = 0.7 years) than patients with CPP or CPC (both medians = 2.3 years). Complete resection was achieved in 68 (64%) patients (79% in CPP, 63% in APP, and 47% in CPC). Metastases were present at diagnosis in 17% of APP patients, 5% of CPP patients, and 21% of CPC patients. All nine APP patients who received postoperative chemotherapy showed an early response after two cycles: two had complete remission, four had partial response, and three had stable disease. In the observation group of 15 patients, one event was seen, and all patients were alive. In the treatment group, one patient with a metastasized tumor and incompletely resected APP died. While APP was defined histologically, median percentages of both the Ki-67/MIB-1 proliferation marker and the p53 tumor suppressor protein increased across the three histological subtypes (from CPP to APP and then CPC), suggesting that the subtypes comprise an ordinal categorization of increasingly severe CPT tumors. This ordering was reiterated by clinical outcome in the 92 patients treated per the study protocol, with 5-year EFS rates of 92% in 39 CPP patients, 83% in 24 APP patients, and 28% in 29 CPC patients. A similar ordering was seen when all 106 patients were evaluated for EFS. APP responded favorably to chemotherapy. The intermediate position of APP between CPP and CPC was supported by the clinical data.","author":[{"dropping-particle":"","family":"Wrede","given":"Brigitte","non-dropping-particle":"","parse-names":false,"suffix":""},{"dropping-particle":"","family":"Hasselblatt","given":"Martin","non-dropping-particle":"","parse-names":false,"suffix":""},{"dropping-particle":"","family":"Peters","given":"Ove","non-dropping-particle":"","parse-names":false,"suffix":""},{"dropping-particle":"","family":"Thall","given":"Peter F.","non-dropping-particle":"","parse-names":false,"suffix":""},{"dropping-particle":"","family":"Kutluk","given":"Tezer","non-dropping-particle":"","parse-names":false,"suffix":""},{"dropping-particle":"","family":"Moghrabi","given":"Albert","non-dropping-particle":"","parse-names":false,"suffix":""},{"dropping-particle":"","family":"Mahajan","given":"Anita","non-dropping-particle":"","parse-names":false,"suffix":""},{"dropping-particle":"","family":"Rutkowski","given":"Stefan","non-dropping-particle":"","parse-names":false,"suffix":""},{"dropping-particle":"","family":"Diez","given":"Blanca","non-dropping-particle":"","parse-names":false,"suffix":""},{"dropping-particle":"","family":"Wang","given":"Xuemei","non-dropping-particle":"","parse-names":false,"suffix":""},{"dropping-particle":"","family":"Pietsch","given":"Torsten","non-dropping-particle":"","parse-names":false,"suffix":""},{"dropping-particle":"","family":"Kortmann","given":"Rolf-Dieter","non-dropping-particle":"","parse-names":false,"suffix":""},{"dropping-particle":"","family":"Paulus","given":"Werner","non-dropping-particle":"","parse-names":false,"suffix":""},{"dropping-particle":"","family":"Jeibmann","given":"Astrid","non-dropping-particle":"","parse-names":false,"suffix":""},{"dropping-particle":"","family":"Wolff","given":"Johannes E. A.","non-dropping-particle":"","parse-names":false,"suffix":""}],"container-title":"Journal of Neuro-Oncology","id":"ITEM-2","issue":"3","issued":{"date-parts":[["2009","12","20"]]},"page":"383-392","title":"Atypical choroid plexus papilloma: clinical experience in the CPT-SIOP-2000 study","type":"article-journal","volume":"95"},"uris":["http://www.mendeley.com/documents/?uuid=a2e703ab-21cb-33e9-a44c-6458ebf879b7"]}],"mendeley":{"formattedCitation":"(28,29)","manualFormatting":"(28, 29)","plainTextFormattedCitation":"(28,29)","previouslyFormattedCitation":"(28,29)"},"properties":{"noteIndex":0},"schema":"https://github.com/citation-style-language/schema/raw/master/csl-citation.json"}</w:instrText>
      </w:r>
      <w:r w:rsidRPr="00E50CE1">
        <w:rPr>
          <w:rFonts w:ascii="Times New Roman" w:eastAsia="Times New Roman" w:hAnsi="Times New Roman" w:cs="Times New Roman"/>
          <w:sz w:val="24"/>
          <w:szCs w:val="24"/>
          <w:vertAlign w:val="superscript"/>
          <w:lang w:val="en-GB" w:eastAsia="en-GB"/>
        </w:rPr>
        <w:fldChar w:fldCharType="separate"/>
      </w:r>
      <w:r w:rsidRPr="00E50CE1">
        <w:rPr>
          <w:rFonts w:ascii="Times New Roman" w:eastAsia="Times New Roman" w:hAnsi="Times New Roman" w:cs="Times New Roman"/>
          <w:noProof/>
          <w:sz w:val="24"/>
          <w:szCs w:val="24"/>
          <w:vertAlign w:val="superscript"/>
          <w:lang w:val="en-GB" w:eastAsia="en-GB"/>
        </w:rPr>
        <w:t>(28, 29)</w:t>
      </w:r>
      <w:r w:rsidRPr="00E50CE1">
        <w:rPr>
          <w:rFonts w:ascii="Times New Roman" w:eastAsia="Times New Roman" w:hAnsi="Times New Roman" w:cs="Times New Roman"/>
          <w:sz w:val="24"/>
          <w:szCs w:val="24"/>
          <w:vertAlign w:val="superscript"/>
          <w:lang w:val="en-GB" w:eastAsia="en-GB"/>
        </w:rPr>
        <w:fldChar w:fldCharType="end"/>
      </w:r>
      <w:r w:rsidRPr="00E50CE1">
        <w:rPr>
          <w:rFonts w:ascii="Times New Roman" w:eastAsia="Times New Roman" w:hAnsi="Times New Roman" w:cs="Times New Roman"/>
          <w:sz w:val="24"/>
          <w:szCs w:val="24"/>
          <w:lang w:val="en-GB" w:eastAsia="en-GB"/>
        </w:rPr>
        <w:t xml:space="preserve"> </w:t>
      </w:r>
    </w:p>
    <w:p w:rsidR="00433B6E" w:rsidRPr="00E50CE1" w:rsidRDefault="00433B6E" w:rsidP="00433B6E">
      <w:pPr>
        <w:spacing w:after="200" w:line="480" w:lineRule="auto"/>
        <w:jc w:val="both"/>
        <w:rPr>
          <w:rFonts w:ascii="Times New Roman" w:eastAsia="Times New Roman" w:hAnsi="Times New Roman" w:cs="Times New Roman"/>
          <w:sz w:val="24"/>
          <w:szCs w:val="24"/>
          <w:lang w:val="en-GB" w:eastAsia="en-GB"/>
        </w:rPr>
      </w:pPr>
      <w:r w:rsidRPr="00E50CE1">
        <w:rPr>
          <w:rFonts w:ascii="Times New Roman" w:eastAsia="Times New Roman" w:hAnsi="Times New Roman" w:cs="Times New Roman"/>
          <w:sz w:val="24"/>
          <w:szCs w:val="24"/>
          <w:lang w:val="en-GB" w:eastAsia="en-GB"/>
        </w:rPr>
        <w:t xml:space="preserve"> The outcome of treatment of choroid plexus tumours depends on the histological grade as well as extent of surgical resection.</w:t>
      </w:r>
      <w:r w:rsidRPr="00E50CE1">
        <w:rPr>
          <w:rFonts w:ascii="Times New Roman" w:eastAsia="Times New Roman" w:hAnsi="Times New Roman" w:cs="Times New Roman"/>
          <w:sz w:val="24"/>
          <w:szCs w:val="24"/>
          <w:vertAlign w:val="superscript"/>
          <w:lang w:val="en-GB" w:eastAsia="en-GB"/>
        </w:rPr>
        <w:fldChar w:fldCharType="begin" w:fldLock="1"/>
      </w:r>
      <w:r w:rsidRPr="00E50CE1">
        <w:rPr>
          <w:rFonts w:ascii="Times New Roman" w:eastAsia="Times New Roman" w:hAnsi="Times New Roman" w:cs="Times New Roman"/>
          <w:sz w:val="24"/>
          <w:szCs w:val="24"/>
          <w:vertAlign w:val="superscript"/>
          <w:lang w:val="en-GB" w:eastAsia="en-GB"/>
        </w:rPr>
        <w:instrText>ADDIN CSL_CITATION {"citationItems":[{"id":"ITEM-1","itemData":{"DOI":"10.3171/jns.1998.88.3.0521","ISSN":"0022-3085","PMID":"9488307","abstract":"OBJECT Choroid plexus tumors are rare intraventricular tumors (1% of all intracranial tumors) that occur mainly in children. The pathophysiological characteristics of associated hydrocephalus, surgical management, and oncological issues related to these tumors remain a matter of debate. To understand more about these tumors, the authors have reviewed their experience with the management of 38 children with choroid plexus tumors. METHODS There were 25 cases of papilloma and 13 of carcinoma. The mean age of the patients at presentation was 22.5 months, and one-half of the patients were younger than 2 years of age. Hydrocephalus was present in 33 patients and poorly correlated with the size, site, and pathological characteristics of the tumor. In nine children, a ventriculoperitoneal shunt was required after tumor excision, calling into question the notion that cerebrospinal fluid oversecretion is the only cause of hydrocephalus. Complete excision was achieved in 96% of the cases of papilloma and 61.5% of the cases of carcinoma. These surgical procedures were complicated by the risks of intraoperative hemorrhage, which proved to be fatal in two cases, and postoperative brain collapse, which led to subdural fluid collections requiring subdural shunt placement in six patients. Preoperative embolization was partially successful in four cases and significantly assisted surgery. Preoperative controlled drainage of excessively dilated ventricles and intraoperative gluing of the cortical incision have been used to address the problem of postoperative brain collapse. Patients with carcinomas were treated postoperatively by chemotherapy alone (seven cases), radiotherapy (one case), or chemotherapy plus radiotherapy (one case). The overall 5-year survival rate was 100% for patients with papillomas and 40% for those with carcinomas. CONCLUSIONS Total surgical excision is curative in cases of papillomas. For carcinomas, the most effective treatment remains total surgical excision; however, adjuvant treatment in the form of chemotherapy in patients younger than age 3 years, supplemented by radiation therapy in older children, can moderately reduce the risk of recurrence.","author":[{"dropping-particle":"","family":"Pencalet","given":"P","non-dropping-particle":"","parse-names":false,"suffix":""},{"dropping-particle":"","family":"Sainte-Rose","given":"C","non-dropping-particle":"","parse-names":false,"suffix":""},{"dropping-particle":"","family":"Lellouch-Tubiana","given":"A","non-dropping-particle":"","parse-names":false,"suffix":""},{"dropping-particle":"","family":"Kalifa","given":"C","non-dropping-particle":"","parse-names":false,"suffix":""},{"dropping-particle":"","family":"Brunelle","given":"F","non-dropping-particle":"","parse-names":false,"suffix":""},{"dropping-particle":"","family":"Sgouros","given":"S","non-dropping-particle":"","parse-names":false,"suffix":""},{"dropping-particle":"","family":"Meyer","given":"P","non-dropping-particle":"","parse-names":false,"suffix":""},{"dropping-particle":"","family":"Cinalli","given":"G","non-dropping-particle":"","parse-names":false,"suffix":""},{"dropping-particle":"","family":"Zerah","given":"M","non-dropping-particle":"","parse-names":false,"suffix":""},{"dropping-particle":"","family":"Pierre-Kahn","given":"A","non-dropping-particle":"","parse-names":false,"suffix":""},{"dropping-particle":"","family":"Renier","given":"D","non-dropping-particle":"","parse-names":false,"suffix":""}],"container-title":"Journal of neurosurgery","id":"ITEM-1","issue":"3","issued":{"date-parts":[["1998","3"]]},"page":"521-8","title":"Papillomas and carcinomas of the choroid plexus in children.","type":"article-journal","volume":"88"},"uris":["http://www.mendeley.com/documents/?uuid=dd6963bf-e476-32d4-bff4-d31503ff592e"]},{"id":"ITEM-2","itemData":{"DOI":"10.1097/00006123-198909000-00001","ISSN":"0148-396X","PMID":"2771002","abstract":"Primary neoplasms of the choroid plexus in children are surgically treatable, and the encouraging results of surgical removal, even for carcinoma, justify an aggressive surgical approach. Forty cases operated on over a span of 45 years have been reviewed in detail, including a rereading of all microscopic slides. The prognosis for children with papilloma has been excellent. The 5-year survival rate for children with carcinoma of the choroid plexus was 50%, and all deaths occurred within 7 months of operation. The patients whose carcinomas were totally removed had a better prognosis than did those with subtotal removal.","author":[{"dropping-particle":"","family":"Ellenbogen","given":"R G","non-dropping-particle":"","parse-names":false,"suffix":""},{"dropping-particle":"","family":"Winston","given":"K R","non-dropping-particle":"","parse-names":false,"suffix":""},{"dropping-particle":"","family":"Kupsky","given":"W J","non-dropping-particle":"","parse-names":false,"suffix":""}],"container-title":"Neurosurgery","id":"ITEM-2","issue":"3","issued":{"date-parts":[["1989","9"]]},"page":"327-35","title":"Tumors of the choroid plexus in children.","type":"article-journal","volume":"25"},"uris":["http://www.mendeley.com/documents/?uuid=d34125ff-1951-3a83-801b-351b4eac714d"]}],"mendeley":{"formattedCitation":"(30,31)","plainTextFormattedCitation":"(30,31)","previouslyFormattedCitation":"(30,31)"},"properties":{"noteIndex":0},"schema":"https://github.com/citation-style-language/schema/raw/master/csl-citation.json"}</w:instrText>
      </w:r>
      <w:r w:rsidRPr="00E50CE1">
        <w:rPr>
          <w:rFonts w:ascii="Times New Roman" w:eastAsia="Times New Roman" w:hAnsi="Times New Roman" w:cs="Times New Roman"/>
          <w:sz w:val="24"/>
          <w:szCs w:val="24"/>
          <w:vertAlign w:val="superscript"/>
          <w:lang w:val="en-GB" w:eastAsia="en-GB"/>
        </w:rPr>
        <w:fldChar w:fldCharType="separate"/>
      </w:r>
      <w:r w:rsidRPr="00E50CE1">
        <w:rPr>
          <w:rFonts w:ascii="Times New Roman" w:eastAsia="Times New Roman" w:hAnsi="Times New Roman" w:cs="Times New Roman"/>
          <w:noProof/>
          <w:sz w:val="24"/>
          <w:szCs w:val="24"/>
          <w:vertAlign w:val="superscript"/>
          <w:lang w:val="en-GB" w:eastAsia="en-GB"/>
        </w:rPr>
        <w:t>(30,31)</w:t>
      </w:r>
      <w:r w:rsidRPr="00E50CE1">
        <w:rPr>
          <w:rFonts w:ascii="Times New Roman" w:eastAsia="Times New Roman" w:hAnsi="Times New Roman" w:cs="Times New Roman"/>
          <w:sz w:val="24"/>
          <w:szCs w:val="24"/>
          <w:vertAlign w:val="superscript"/>
          <w:lang w:val="en-GB" w:eastAsia="en-GB"/>
        </w:rPr>
        <w:fldChar w:fldCharType="end"/>
      </w:r>
      <w:r w:rsidRPr="00E50CE1">
        <w:rPr>
          <w:rFonts w:ascii="Times New Roman" w:eastAsia="Times New Roman" w:hAnsi="Times New Roman" w:cs="Times New Roman"/>
          <w:sz w:val="24"/>
          <w:szCs w:val="24"/>
          <w:lang w:val="en-GB" w:eastAsia="en-GB"/>
        </w:rPr>
        <w:t xml:space="preserve"> </w:t>
      </w:r>
      <w:proofErr w:type="gramStart"/>
      <w:r w:rsidRPr="00E50CE1">
        <w:rPr>
          <w:rFonts w:ascii="Times New Roman" w:eastAsia="Times New Roman" w:hAnsi="Times New Roman" w:cs="Times New Roman"/>
          <w:sz w:val="24"/>
          <w:szCs w:val="24"/>
          <w:lang w:val="en-GB" w:eastAsia="en-GB"/>
        </w:rPr>
        <w:t>In</w:t>
      </w:r>
      <w:proofErr w:type="gramEnd"/>
      <w:r w:rsidRPr="00E50CE1">
        <w:rPr>
          <w:rFonts w:ascii="Times New Roman" w:eastAsia="Times New Roman" w:hAnsi="Times New Roman" w:cs="Times New Roman"/>
          <w:sz w:val="24"/>
          <w:szCs w:val="24"/>
          <w:lang w:val="en-GB" w:eastAsia="en-GB"/>
        </w:rPr>
        <w:t xml:space="preserve"> an environment where follow up and access to chemotherapy are a challenge, we opt for complete resection in our patients. Histological </w:t>
      </w:r>
      <w:r w:rsidRPr="00E50CE1">
        <w:rPr>
          <w:rFonts w:ascii="Times New Roman" w:eastAsia="Times New Roman" w:hAnsi="Times New Roman" w:cs="Times New Roman"/>
          <w:sz w:val="24"/>
          <w:szCs w:val="24"/>
          <w:lang w:val="en-GB" w:eastAsia="en-GB"/>
        </w:rPr>
        <w:lastRenderedPageBreak/>
        <w:t>findings are used to classify the tumours as choroid plexus papilloma, atypical choroid plexus papilloma and choroid plexus carcinoma. These findings carry significant prognostic value in tumour free survival.</w:t>
      </w:r>
      <w:r w:rsidRPr="00E50CE1">
        <w:rPr>
          <w:rFonts w:ascii="Times New Roman" w:eastAsia="Times New Roman" w:hAnsi="Times New Roman" w:cs="Times New Roman"/>
          <w:sz w:val="24"/>
          <w:szCs w:val="24"/>
          <w:vertAlign w:val="superscript"/>
          <w:lang w:val="en-GB" w:eastAsia="en-GB"/>
        </w:rPr>
        <w:fldChar w:fldCharType="begin" w:fldLock="1"/>
      </w:r>
      <w:r w:rsidRPr="00E50CE1">
        <w:rPr>
          <w:rFonts w:ascii="Times New Roman" w:eastAsia="Times New Roman" w:hAnsi="Times New Roman" w:cs="Times New Roman"/>
          <w:sz w:val="24"/>
          <w:szCs w:val="24"/>
          <w:vertAlign w:val="superscript"/>
          <w:lang w:val="en-GB" w:eastAsia="en-GB"/>
        </w:rPr>
        <w:instrText>ADDIN CSL_CITATION {"citationItems":[{"id":"ITEM-1","itemData":{"DOI":"10.3171/2018.12.PEDS18453","PMID":"30797210","abstract":"Choroid plexus papillomas (CPPs) are rare, benign tumors that can arise in young children. Most pediatric patients present with signs of hydrocephalus and require immediate treatment. The natural history of choroid plexus tumors in children without hydrocephalus is poorly defined. In this report, the authors present the very rare case of a child without hydrocephalus but with two intraventricular choroid plexus tumors discovered shortly after birth. Initial imaging had been performed for seizures and showed agenesis of the corpus callosum and enhancing tumors in the third and left lateral ventricles. Sequential imaging demonstrated rapid growth of both tumors. The lateral tumor was removed when the child was 3 months of age. A histological examination of the specimen showed benign features with an elevated mitotic rate. Given the patient's age of under 3 years, the diagnosis was WHO grade I CPP. The third ventricle tumor grew rapidly. A second surgery was performed and this tumor was resected. Again, the pathological diagnosis was WHO grade I CPP. The authors present this rare case and discuss the current relevant literature.","author":[{"dropping-particle":"","family":"Misiolek","given":"Kalina A","non-dropping-particle":"","parse-names":false,"suffix":""},{"dropping-particle":"","family":"Osborn","given":"Zachary G","non-dropping-particle":"","parse-names":false,"suffix":""},{"dropping-particle":"","family":"Hauser","given":"Natalie","non-dropping-particle":"","parse-names":false,"suffix":""},{"dropping-particle":"","family":"Thomas","given":"Diana","non-dropping-particle":"","parse-names":false,"suffix":""},{"dropping-particle":"","family":"Goodman","given":"Jessica F","non-dropping-particle":"","parse-names":false,"suffix":""},{"dropping-particle":"","family":"Fulkerson","given":"Daniel H","non-dropping-particle":"","parse-names":false,"suffix":""}],"container-title":"Journal of neurosurgery. Pediatrics","id":"ITEM-1","issue":"5","issued":{"date-parts":[["2019","2","22"]]},"page":"1-6","title":"Rapidly growing, multifocal, benign choroid plexus tumor in an infant: case report.","type":"article-journal","volume":"23"},"uris":["http://www.mendeley.com/documents/?uuid=e861f516-ecf1-38a0-a12b-75fa7480f5c2"]},{"id":"ITEM-2","itemData":{"DOI":"10.1007/s00401-015-1434-z","PMID":"25935663","author":[{"dropping-particle":"","family":"Thomas","given":"Christian","non-dropping-particle":"","parse-names":false,"suffix":""},{"dropping-particle":"","family":"Ruland","given":"Vincent","non-dropping-particle":"","parse-names":false,"suffix":""},{"dropping-particle":"","family":"Kordes","given":"Uwe","non-dropping-particle":"","parse-names":false,"suffix":""},{"dropping-particle":"","family":"Hartung","given":"Stefan","non-dropping-particle":"","parse-names":false,"suffix":""},{"dropping-particle":"","family":"Capper","given":"David","non-dropping-particle":"","parse-names":false,"suffix":""},{"dropping-particle":"","family":"Pietsch","given":"Torsten","non-dropping-particle":"","parse-names":false,"suffix":""},{"dropping-particle":"","family":"Gerß","given":"Joachim","non-dropping-particle":"","parse-names":false,"suffix":""},{"dropping-particle":"","family":"Wolff","given":"Johannes E A","non-dropping-particle":"","parse-names":false,"suffix":""},{"dropping-particle":"","family":"Paulus","given":"Werner","non-dropping-particle":"","parse-names":false,"suffix":""},{"dropping-particle":"","family":"Hasselblatt","given":"Martin","non-dropping-particle":"","parse-names":false,"suffix":""}],"container-title":"Acta neuropathologica","id":"ITEM-2","issue":"6","issued":{"date-parts":[["2015","6","3"]]},"page":"925-7","title":"Pediatric atypical choroid plexus papilloma reconsidered: increased mitotic activity is prognostic only in older children.","type":"article-journal","volume":"129"},"uris":["http://www.mendeley.com/documents/?uuid=3db6db74-7ea2-3e63-ac3e-f149acf83fd5"]}],"mendeley":{"formattedCitation":"(18,19)","plainTextFormattedCitation":"(18,19)","previouslyFormattedCitation":"(18,19)"},"properties":{"noteIndex":0},"schema":"https://github.com/citation-style-language/schema/raw/master/csl-citation.json"}</w:instrText>
      </w:r>
      <w:r w:rsidRPr="00E50CE1">
        <w:rPr>
          <w:rFonts w:ascii="Times New Roman" w:eastAsia="Times New Roman" w:hAnsi="Times New Roman" w:cs="Times New Roman"/>
          <w:sz w:val="24"/>
          <w:szCs w:val="24"/>
          <w:vertAlign w:val="superscript"/>
          <w:lang w:val="en-GB" w:eastAsia="en-GB"/>
        </w:rPr>
        <w:fldChar w:fldCharType="separate"/>
      </w:r>
      <w:r w:rsidRPr="00E50CE1">
        <w:rPr>
          <w:rFonts w:ascii="Times New Roman" w:eastAsia="Times New Roman" w:hAnsi="Times New Roman" w:cs="Times New Roman"/>
          <w:noProof/>
          <w:sz w:val="24"/>
          <w:szCs w:val="24"/>
          <w:vertAlign w:val="superscript"/>
          <w:lang w:val="en-GB" w:eastAsia="en-GB"/>
        </w:rPr>
        <w:t>(18,19)</w:t>
      </w:r>
      <w:r w:rsidRPr="00E50CE1">
        <w:rPr>
          <w:rFonts w:ascii="Times New Roman" w:eastAsia="Times New Roman" w:hAnsi="Times New Roman" w:cs="Times New Roman"/>
          <w:sz w:val="24"/>
          <w:szCs w:val="24"/>
          <w:vertAlign w:val="superscript"/>
          <w:lang w:val="en-GB" w:eastAsia="en-GB"/>
        </w:rPr>
        <w:fldChar w:fldCharType="end"/>
      </w:r>
    </w:p>
    <w:p w:rsidR="00433B6E" w:rsidRPr="00E50CE1" w:rsidRDefault="00433B6E" w:rsidP="00433B6E">
      <w:pPr>
        <w:spacing w:after="200" w:line="480" w:lineRule="auto"/>
        <w:jc w:val="both"/>
        <w:rPr>
          <w:rFonts w:ascii="Times New Roman" w:eastAsia="Times New Roman" w:hAnsi="Times New Roman" w:cs="Times New Roman"/>
          <w:sz w:val="24"/>
          <w:szCs w:val="24"/>
          <w:lang w:val="en-GB" w:eastAsia="en-GB"/>
        </w:rPr>
      </w:pPr>
      <w:r w:rsidRPr="00E50CE1">
        <w:rPr>
          <w:rFonts w:ascii="Times New Roman" w:eastAsia="Times New Roman" w:hAnsi="Times New Roman" w:cs="Times New Roman"/>
          <w:sz w:val="24"/>
          <w:szCs w:val="24"/>
          <w:lang w:val="en-GB" w:eastAsia="en-GB"/>
        </w:rPr>
        <w:t>Surgical outcomes of these groups of tumours are dependent on the pre-operative clinical status of the patient as well as the extent of tumour resection.</w:t>
      </w:r>
      <w:r w:rsidRPr="00E50CE1">
        <w:rPr>
          <w:rFonts w:ascii="Times New Roman" w:eastAsia="Times New Roman" w:hAnsi="Times New Roman" w:cs="Times New Roman"/>
          <w:sz w:val="24"/>
          <w:szCs w:val="24"/>
          <w:vertAlign w:val="superscript"/>
          <w:lang w:val="en-GB" w:eastAsia="en-GB"/>
        </w:rPr>
        <w:fldChar w:fldCharType="begin" w:fldLock="1"/>
      </w:r>
      <w:r w:rsidRPr="00E50CE1">
        <w:rPr>
          <w:rFonts w:ascii="Times New Roman" w:eastAsia="Times New Roman" w:hAnsi="Times New Roman" w:cs="Times New Roman"/>
          <w:sz w:val="24"/>
          <w:szCs w:val="24"/>
          <w:vertAlign w:val="superscript"/>
          <w:lang w:val="en-GB" w:eastAsia="en-GB"/>
        </w:rPr>
        <w:instrText>ADDIN CSL_CITATION {"citationItems":[{"id":"ITEM-1","itemData":{"DOI":"10.4103/1817-1745.181254","ISSN":"19983948","PMID":"27195037","abstract":"Choroid plexus tumors are relatively rare primary brain tumors that arise from the epithelial differentiated tissue, majority being well-differentiated papillomas. In adults, fourth ventricle and in children, lateral ventricles are the most common site of these tumors. We reported a case of choroid plexus papilloma in the temporal horn of lateral ventricle in a female child who presented with the uncommon symptoms of sudden intraventricular hemorrhage and multiple episodes of seizure without symptoms of raised intracranial tension.","author":[{"dropping-particle":"","family":"Pandey","given":"Sharad","non-dropping-particle":"","parse-names":false,"suffix":""},{"dropping-particle":"","family":"Sharma","given":"Vivek","non-dropping-particle":"","parse-names":false,"suffix":""},{"dropping-particle":"","family":"Singh","given":"Kulwant","non-dropping-particle":"","parse-names":false,"suffix":""},{"dropping-particle":"","family":"Ghosh","given":"Amrita","non-dropping-particle":"","parse-names":false,"suffix":""},{"dropping-particle":"","family":"Gupta","given":"Praveen Kumar","non-dropping-particle":"","parse-names":false,"suffix":""}],"container-title":"Journal of Pediatric Neurosciences","id":"ITEM-1","issue":"1","issued":{"date-parts":[["2016"]]},"page":"61-63","title":"Uncommon presentation of choroid plexus papilloma in an infant","type":"article-journal","volume":"11"},"uris":["http://www.mendeley.com/documents/?uuid=d38ae497-ca53-3481-8990-a2b1881df134"]}],"mendeley":{"formattedCitation":"(32)","plainTextFormattedCitation":"(32)","previouslyFormattedCitation":"(32)"},"properties":{"noteIndex":0},"schema":"https://github.com/citation-style-language/schema/raw/master/csl-citation.json"}</w:instrText>
      </w:r>
      <w:r w:rsidRPr="00E50CE1">
        <w:rPr>
          <w:rFonts w:ascii="Times New Roman" w:eastAsia="Times New Roman" w:hAnsi="Times New Roman" w:cs="Times New Roman"/>
          <w:sz w:val="24"/>
          <w:szCs w:val="24"/>
          <w:vertAlign w:val="superscript"/>
          <w:lang w:val="en-GB" w:eastAsia="en-GB"/>
        </w:rPr>
        <w:fldChar w:fldCharType="separate"/>
      </w:r>
      <w:r w:rsidRPr="00E50CE1">
        <w:rPr>
          <w:rFonts w:ascii="Times New Roman" w:eastAsia="Times New Roman" w:hAnsi="Times New Roman" w:cs="Times New Roman"/>
          <w:noProof/>
          <w:sz w:val="24"/>
          <w:szCs w:val="24"/>
          <w:vertAlign w:val="superscript"/>
          <w:lang w:val="en-GB" w:eastAsia="en-GB"/>
        </w:rPr>
        <w:t>(32)</w:t>
      </w:r>
      <w:r w:rsidRPr="00E50CE1">
        <w:rPr>
          <w:rFonts w:ascii="Times New Roman" w:eastAsia="Times New Roman" w:hAnsi="Times New Roman" w:cs="Times New Roman"/>
          <w:sz w:val="24"/>
          <w:szCs w:val="24"/>
          <w:vertAlign w:val="superscript"/>
          <w:lang w:val="en-GB" w:eastAsia="en-GB"/>
        </w:rPr>
        <w:fldChar w:fldCharType="end"/>
      </w:r>
    </w:p>
    <w:p w:rsidR="00433B6E" w:rsidRPr="00E50CE1" w:rsidRDefault="00433B6E" w:rsidP="00433B6E">
      <w:pPr>
        <w:spacing w:after="200" w:line="480" w:lineRule="auto"/>
        <w:jc w:val="both"/>
        <w:rPr>
          <w:rFonts w:ascii="Times New Roman" w:eastAsia="Times New Roman" w:hAnsi="Times New Roman" w:cs="Times New Roman"/>
          <w:b/>
          <w:bCs/>
          <w:sz w:val="24"/>
          <w:szCs w:val="24"/>
          <w:lang w:val="en-GB" w:eastAsia="en-GB"/>
        </w:rPr>
      </w:pPr>
      <w:r w:rsidRPr="00E50CE1">
        <w:rPr>
          <w:rFonts w:ascii="Times New Roman" w:eastAsia="Times New Roman" w:hAnsi="Times New Roman" w:cs="Times New Roman"/>
          <w:b/>
          <w:bCs/>
          <w:sz w:val="24"/>
          <w:szCs w:val="24"/>
          <w:lang w:val="en-GB" w:eastAsia="en-GB"/>
        </w:rPr>
        <w:t>CONCLUSION</w:t>
      </w:r>
    </w:p>
    <w:p w:rsidR="00433B6E" w:rsidRPr="00E50CE1" w:rsidRDefault="00433B6E" w:rsidP="00433B6E">
      <w:pPr>
        <w:spacing w:after="200" w:line="480" w:lineRule="auto"/>
        <w:jc w:val="both"/>
        <w:rPr>
          <w:rFonts w:ascii="Times New Roman" w:eastAsia="Times New Roman" w:hAnsi="Times New Roman" w:cs="Times New Roman"/>
          <w:sz w:val="24"/>
          <w:szCs w:val="24"/>
          <w:lang w:val="en-GB" w:eastAsia="en-GB"/>
        </w:rPr>
      </w:pPr>
      <w:r w:rsidRPr="00E50CE1">
        <w:rPr>
          <w:rFonts w:ascii="Times New Roman" w:eastAsia="Times New Roman" w:hAnsi="Times New Roman" w:cs="Times New Roman"/>
          <w:sz w:val="24"/>
          <w:szCs w:val="24"/>
          <w:lang w:val="en-GB" w:eastAsia="en-GB"/>
        </w:rPr>
        <w:t xml:space="preserve">This case presentation is a documentation of a rare ventricular atypical choroid plexus papilloma in an infant. The following need to be highlighted from this case report: </w:t>
      </w:r>
    </w:p>
    <w:p w:rsidR="00433B6E" w:rsidRPr="00E50CE1" w:rsidRDefault="00433B6E" w:rsidP="00433B6E">
      <w:pPr>
        <w:numPr>
          <w:ilvl w:val="0"/>
          <w:numId w:val="8"/>
        </w:numPr>
        <w:spacing w:after="200" w:line="480" w:lineRule="auto"/>
        <w:contextualSpacing/>
        <w:jc w:val="both"/>
        <w:rPr>
          <w:rFonts w:ascii="Times New Roman" w:eastAsia="Times New Roman" w:hAnsi="Times New Roman" w:cs="Times New Roman"/>
          <w:sz w:val="24"/>
          <w:szCs w:val="24"/>
          <w:lang w:val="en-GB" w:eastAsia="en-GB"/>
        </w:rPr>
      </w:pPr>
      <w:r w:rsidRPr="00E50CE1">
        <w:rPr>
          <w:rFonts w:ascii="Times New Roman" w:eastAsia="Times New Roman" w:hAnsi="Times New Roman" w:cs="Times New Roman"/>
          <w:sz w:val="24"/>
          <w:szCs w:val="24"/>
          <w:lang w:val="en-GB" w:eastAsia="en-GB"/>
        </w:rPr>
        <w:t xml:space="preserve">Choroid plexus </w:t>
      </w:r>
      <w:proofErr w:type="spellStart"/>
      <w:r w:rsidRPr="00E50CE1">
        <w:rPr>
          <w:rFonts w:ascii="Times New Roman" w:eastAsia="Times New Roman" w:hAnsi="Times New Roman" w:cs="Times New Roman"/>
          <w:sz w:val="24"/>
          <w:szCs w:val="24"/>
          <w:lang w:val="en-GB" w:eastAsia="en-GB"/>
        </w:rPr>
        <w:t>papillomas</w:t>
      </w:r>
      <w:proofErr w:type="spellEnd"/>
      <w:r w:rsidRPr="00E50CE1">
        <w:rPr>
          <w:rFonts w:ascii="Times New Roman" w:eastAsia="Times New Roman" w:hAnsi="Times New Roman" w:cs="Times New Roman"/>
          <w:sz w:val="24"/>
          <w:szCs w:val="24"/>
          <w:lang w:val="en-GB" w:eastAsia="en-GB"/>
        </w:rPr>
        <w:t xml:space="preserve"> of the third ventricle may cause obstructive hydrocephalus and a high index of suspicion will prevent time wastage in their treatment and recovery of the patient. </w:t>
      </w:r>
    </w:p>
    <w:p w:rsidR="00433B6E" w:rsidRPr="00E50CE1" w:rsidRDefault="00433B6E" w:rsidP="00433B6E">
      <w:pPr>
        <w:numPr>
          <w:ilvl w:val="0"/>
          <w:numId w:val="8"/>
        </w:numPr>
        <w:spacing w:after="200" w:line="480" w:lineRule="auto"/>
        <w:contextualSpacing/>
        <w:jc w:val="both"/>
        <w:rPr>
          <w:rFonts w:ascii="Times New Roman" w:eastAsia="Times New Roman" w:hAnsi="Times New Roman" w:cs="Times New Roman"/>
          <w:sz w:val="24"/>
          <w:szCs w:val="24"/>
          <w:lang w:val="en-GB" w:eastAsia="en-GB"/>
        </w:rPr>
      </w:pPr>
      <w:r w:rsidRPr="00E50CE1">
        <w:rPr>
          <w:rFonts w:ascii="Times New Roman" w:eastAsia="Times New Roman" w:hAnsi="Times New Roman" w:cs="Times New Roman"/>
          <w:sz w:val="24"/>
          <w:szCs w:val="24"/>
          <w:lang w:val="en-GB" w:eastAsia="en-GB"/>
        </w:rPr>
        <w:t>Gross total excision of the tumour is the gold standard of care when it is safe.</w:t>
      </w:r>
    </w:p>
    <w:p w:rsidR="00433B6E" w:rsidRPr="00E50CE1" w:rsidRDefault="00433B6E" w:rsidP="00433B6E">
      <w:pPr>
        <w:numPr>
          <w:ilvl w:val="0"/>
          <w:numId w:val="8"/>
        </w:numPr>
        <w:spacing w:after="200" w:line="480" w:lineRule="auto"/>
        <w:contextualSpacing/>
        <w:jc w:val="both"/>
        <w:rPr>
          <w:rFonts w:ascii="Times New Roman" w:eastAsia="Times New Roman" w:hAnsi="Times New Roman" w:cs="Times New Roman"/>
          <w:sz w:val="24"/>
          <w:szCs w:val="24"/>
          <w:lang w:val="en-GB" w:eastAsia="en-GB"/>
        </w:rPr>
      </w:pPr>
      <w:r w:rsidRPr="00E50CE1">
        <w:rPr>
          <w:rFonts w:ascii="Times New Roman" w:eastAsia="Times New Roman" w:hAnsi="Times New Roman" w:cs="Times New Roman"/>
          <w:sz w:val="24"/>
          <w:szCs w:val="24"/>
          <w:lang w:val="en-GB" w:eastAsia="en-GB"/>
        </w:rPr>
        <w:t>The use of an endoscope to assist in tumour resection makes it a veritable surgical adjunct, more so in resource challenged environments.</w:t>
      </w:r>
    </w:p>
    <w:p w:rsidR="00433B6E" w:rsidRPr="00E50CE1" w:rsidRDefault="00433B6E" w:rsidP="00433B6E">
      <w:pPr>
        <w:spacing w:after="200" w:line="480" w:lineRule="auto"/>
        <w:jc w:val="both"/>
        <w:rPr>
          <w:rFonts w:ascii="Times New Roman" w:eastAsia="Times New Roman" w:hAnsi="Times New Roman" w:cs="Times New Roman"/>
          <w:strike/>
          <w:sz w:val="24"/>
          <w:szCs w:val="24"/>
          <w:lang w:val="en-GB" w:eastAsia="en-GB"/>
        </w:rPr>
      </w:pPr>
    </w:p>
    <w:p w:rsidR="00433B6E" w:rsidRPr="00E50CE1" w:rsidRDefault="00433B6E" w:rsidP="00433B6E">
      <w:pPr>
        <w:widowControl w:val="0"/>
        <w:spacing w:after="200" w:line="480" w:lineRule="auto"/>
        <w:rPr>
          <w:rFonts w:ascii="Times New Roman" w:eastAsia="Times New Roman" w:hAnsi="Times New Roman" w:cs="Times New Roman"/>
          <w:b/>
          <w:bCs/>
          <w:sz w:val="24"/>
          <w:szCs w:val="24"/>
          <w:lang w:val="en-GB" w:eastAsia="en-GB"/>
        </w:rPr>
      </w:pPr>
      <w:r w:rsidRPr="00E50CE1">
        <w:rPr>
          <w:rFonts w:ascii="Times New Roman" w:eastAsia="Times New Roman" w:hAnsi="Times New Roman" w:cs="Times New Roman"/>
          <w:b/>
          <w:bCs/>
          <w:sz w:val="24"/>
          <w:szCs w:val="24"/>
          <w:lang w:val="en-GB" w:eastAsia="en-GB"/>
        </w:rPr>
        <w:t xml:space="preserve">References: </w:t>
      </w:r>
    </w:p>
    <w:p w:rsidR="00433B6E" w:rsidRPr="00E50CE1" w:rsidRDefault="00433B6E" w:rsidP="00433B6E">
      <w:pPr>
        <w:widowControl w:val="0"/>
        <w:autoSpaceDE w:val="0"/>
        <w:autoSpaceDN w:val="0"/>
        <w:adjustRightInd w:val="0"/>
        <w:spacing w:line="480" w:lineRule="auto"/>
        <w:ind w:left="640" w:hanging="640"/>
        <w:rPr>
          <w:rFonts w:ascii="Times New Roman" w:eastAsia="Times New Roman" w:hAnsi="Times New Roman" w:cs="Times New Roman"/>
          <w:noProof/>
          <w:sz w:val="24"/>
          <w:szCs w:val="24"/>
          <w:lang w:val="en-GB" w:eastAsia="en-GB"/>
        </w:rPr>
      </w:pPr>
      <w:r w:rsidRPr="00E50CE1">
        <w:rPr>
          <w:rFonts w:ascii="Times New Roman" w:eastAsia="Times New Roman" w:hAnsi="Times New Roman" w:cs="Times New Roman"/>
          <w:b/>
          <w:bCs/>
          <w:sz w:val="24"/>
          <w:szCs w:val="24"/>
          <w:lang w:val="en-GB" w:eastAsia="en-GB"/>
        </w:rPr>
        <w:fldChar w:fldCharType="begin" w:fldLock="1"/>
      </w:r>
      <w:r w:rsidRPr="00E50CE1">
        <w:rPr>
          <w:rFonts w:ascii="Times New Roman" w:eastAsia="Times New Roman" w:hAnsi="Times New Roman" w:cs="Times New Roman"/>
          <w:b/>
          <w:bCs/>
          <w:sz w:val="24"/>
          <w:szCs w:val="24"/>
          <w:lang w:val="en-GB" w:eastAsia="en-GB"/>
        </w:rPr>
        <w:instrText xml:space="preserve">ADDIN Mendeley Bibliography CSL_BIBLIOGRAPHY </w:instrText>
      </w:r>
      <w:r w:rsidRPr="00E50CE1">
        <w:rPr>
          <w:rFonts w:ascii="Times New Roman" w:eastAsia="Times New Roman" w:hAnsi="Times New Roman" w:cs="Times New Roman"/>
          <w:b/>
          <w:bCs/>
          <w:sz w:val="24"/>
          <w:szCs w:val="24"/>
          <w:lang w:val="en-GB" w:eastAsia="en-GB"/>
        </w:rPr>
        <w:fldChar w:fldCharType="separate"/>
      </w:r>
      <w:r w:rsidRPr="00E50CE1">
        <w:rPr>
          <w:rFonts w:ascii="Times New Roman" w:eastAsia="Times New Roman" w:hAnsi="Times New Roman" w:cs="Times New Roman"/>
          <w:noProof/>
          <w:sz w:val="24"/>
          <w:szCs w:val="24"/>
          <w:lang w:val="en-GB" w:eastAsia="en-GB"/>
        </w:rPr>
        <w:t xml:space="preserve">1. </w:t>
      </w:r>
      <w:r w:rsidRPr="00E50CE1">
        <w:rPr>
          <w:rFonts w:ascii="Times New Roman" w:eastAsia="Times New Roman" w:hAnsi="Times New Roman" w:cs="Times New Roman"/>
          <w:noProof/>
          <w:sz w:val="24"/>
          <w:szCs w:val="24"/>
          <w:lang w:val="en-GB" w:eastAsia="en-GB"/>
        </w:rPr>
        <w:tab/>
        <w:t xml:space="preserve">Aguzzi A, Brandner S, Paulus W. Choroid plexus tumours. Pathology and genetics-tumours of the nervous system. Kleihues P, Cavenee W, editors. Lyon,France: IARC; 2000. 84–86 p. </w:t>
      </w:r>
    </w:p>
    <w:p w:rsidR="00433B6E" w:rsidRPr="00E50CE1" w:rsidRDefault="00433B6E" w:rsidP="00433B6E">
      <w:pPr>
        <w:widowControl w:val="0"/>
        <w:autoSpaceDE w:val="0"/>
        <w:autoSpaceDN w:val="0"/>
        <w:adjustRightInd w:val="0"/>
        <w:spacing w:line="480" w:lineRule="auto"/>
        <w:ind w:left="640" w:hanging="640"/>
        <w:rPr>
          <w:rFonts w:ascii="Times New Roman" w:eastAsia="Times New Roman" w:hAnsi="Times New Roman" w:cs="Times New Roman"/>
          <w:noProof/>
          <w:sz w:val="24"/>
          <w:szCs w:val="24"/>
          <w:lang w:val="en-GB" w:eastAsia="en-GB"/>
        </w:rPr>
      </w:pPr>
      <w:r w:rsidRPr="00E50CE1">
        <w:rPr>
          <w:rFonts w:ascii="Times New Roman" w:eastAsia="Times New Roman" w:hAnsi="Times New Roman" w:cs="Times New Roman"/>
          <w:noProof/>
          <w:sz w:val="24"/>
          <w:szCs w:val="24"/>
          <w:lang w:val="en-GB" w:eastAsia="en-GB"/>
        </w:rPr>
        <w:t xml:space="preserve">2. </w:t>
      </w:r>
      <w:r w:rsidRPr="00E50CE1">
        <w:rPr>
          <w:rFonts w:ascii="Times New Roman" w:eastAsia="Times New Roman" w:hAnsi="Times New Roman" w:cs="Times New Roman"/>
          <w:noProof/>
          <w:sz w:val="24"/>
          <w:szCs w:val="24"/>
          <w:lang w:val="en-GB" w:eastAsia="en-GB"/>
        </w:rPr>
        <w:tab/>
        <w:t xml:space="preserve">Bettegowda C, Adogwa O, Mehta V, Chaichana KL, Weingart J, Carson BS, et al. Treatment of choroid plexus tumours: a 20-year single institutional experience. J Neurosurg Pediatr. 2012;10:398–405. </w:t>
      </w:r>
    </w:p>
    <w:p w:rsidR="00433B6E" w:rsidRPr="00E50CE1" w:rsidRDefault="00433B6E" w:rsidP="00433B6E">
      <w:pPr>
        <w:widowControl w:val="0"/>
        <w:autoSpaceDE w:val="0"/>
        <w:autoSpaceDN w:val="0"/>
        <w:adjustRightInd w:val="0"/>
        <w:spacing w:line="480" w:lineRule="auto"/>
        <w:ind w:left="640" w:hanging="640"/>
        <w:rPr>
          <w:rFonts w:ascii="Times New Roman" w:eastAsia="Times New Roman" w:hAnsi="Times New Roman" w:cs="Times New Roman"/>
          <w:noProof/>
          <w:sz w:val="24"/>
          <w:szCs w:val="24"/>
          <w:lang w:val="en-GB" w:eastAsia="en-GB"/>
        </w:rPr>
      </w:pPr>
      <w:r w:rsidRPr="00E50CE1">
        <w:rPr>
          <w:rFonts w:ascii="Times New Roman" w:eastAsia="Times New Roman" w:hAnsi="Times New Roman" w:cs="Times New Roman"/>
          <w:noProof/>
          <w:sz w:val="24"/>
          <w:szCs w:val="24"/>
          <w:lang w:val="en-GB" w:eastAsia="en-GB"/>
        </w:rPr>
        <w:lastRenderedPageBreak/>
        <w:t xml:space="preserve">3. </w:t>
      </w:r>
      <w:r w:rsidRPr="00E50CE1">
        <w:rPr>
          <w:rFonts w:ascii="Times New Roman" w:eastAsia="Times New Roman" w:hAnsi="Times New Roman" w:cs="Times New Roman"/>
          <w:noProof/>
          <w:sz w:val="24"/>
          <w:szCs w:val="24"/>
          <w:lang w:val="en-GB" w:eastAsia="en-GB"/>
        </w:rPr>
        <w:tab/>
        <w:t xml:space="preserve">Rosai J, Ackerman L V., Rosai J. Rosai and Ackerman’s surgical pathology. 10th ed. New York: Mosby Elsevier; 2011. </w:t>
      </w:r>
    </w:p>
    <w:p w:rsidR="00433B6E" w:rsidRPr="00E50CE1" w:rsidRDefault="00433B6E" w:rsidP="00433B6E">
      <w:pPr>
        <w:widowControl w:val="0"/>
        <w:autoSpaceDE w:val="0"/>
        <w:autoSpaceDN w:val="0"/>
        <w:adjustRightInd w:val="0"/>
        <w:spacing w:line="480" w:lineRule="auto"/>
        <w:ind w:left="640" w:hanging="640"/>
        <w:rPr>
          <w:rFonts w:ascii="Times New Roman" w:eastAsia="Times New Roman" w:hAnsi="Times New Roman" w:cs="Times New Roman"/>
          <w:noProof/>
          <w:sz w:val="24"/>
          <w:szCs w:val="24"/>
          <w:lang w:val="en-GB" w:eastAsia="en-GB"/>
        </w:rPr>
      </w:pPr>
      <w:r w:rsidRPr="00E50CE1">
        <w:rPr>
          <w:rFonts w:ascii="Times New Roman" w:eastAsia="Times New Roman" w:hAnsi="Times New Roman" w:cs="Times New Roman"/>
          <w:noProof/>
          <w:sz w:val="24"/>
          <w:szCs w:val="24"/>
          <w:lang w:val="en-GB" w:eastAsia="en-GB"/>
        </w:rPr>
        <w:t xml:space="preserve">4. </w:t>
      </w:r>
      <w:r w:rsidRPr="00E50CE1">
        <w:rPr>
          <w:rFonts w:ascii="Times New Roman" w:eastAsia="Times New Roman" w:hAnsi="Times New Roman" w:cs="Times New Roman"/>
          <w:noProof/>
          <w:sz w:val="24"/>
          <w:szCs w:val="24"/>
          <w:lang w:val="en-GB" w:eastAsia="en-GB"/>
        </w:rPr>
        <w:tab/>
        <w:t xml:space="preserve">Hosmann A, Hinker F, Dorfer C, Slavc I, Haberler C, Dieckmann K, et al. Management of choroid plexus tumours-an institutional experience. Acta Neurochir (Wien). 2019;161:745–54. </w:t>
      </w:r>
    </w:p>
    <w:p w:rsidR="00433B6E" w:rsidRPr="00E50CE1" w:rsidRDefault="00433B6E" w:rsidP="00433B6E">
      <w:pPr>
        <w:widowControl w:val="0"/>
        <w:autoSpaceDE w:val="0"/>
        <w:autoSpaceDN w:val="0"/>
        <w:adjustRightInd w:val="0"/>
        <w:spacing w:line="480" w:lineRule="auto"/>
        <w:ind w:left="640" w:hanging="640"/>
        <w:rPr>
          <w:rFonts w:ascii="Times New Roman" w:eastAsia="Times New Roman" w:hAnsi="Times New Roman" w:cs="Times New Roman"/>
          <w:noProof/>
          <w:sz w:val="24"/>
          <w:szCs w:val="24"/>
          <w:lang w:val="en-GB" w:eastAsia="en-GB"/>
        </w:rPr>
      </w:pPr>
      <w:r w:rsidRPr="00E50CE1">
        <w:rPr>
          <w:rFonts w:ascii="Times New Roman" w:eastAsia="Times New Roman" w:hAnsi="Times New Roman" w:cs="Times New Roman"/>
          <w:noProof/>
          <w:sz w:val="24"/>
          <w:szCs w:val="24"/>
          <w:lang w:val="en-GB" w:eastAsia="en-GB"/>
        </w:rPr>
        <w:t xml:space="preserve">5. </w:t>
      </w:r>
      <w:r w:rsidRPr="00E50CE1">
        <w:rPr>
          <w:rFonts w:ascii="Times New Roman" w:eastAsia="Times New Roman" w:hAnsi="Times New Roman" w:cs="Times New Roman"/>
          <w:noProof/>
          <w:sz w:val="24"/>
          <w:szCs w:val="24"/>
          <w:lang w:val="en-GB" w:eastAsia="en-GB"/>
        </w:rPr>
        <w:tab/>
        <w:t xml:space="preserve">Anderson M, Babington P, Taheri R, Diolombi M, Sherman JH. Unique presentation of cerebellopontine angle choroid plexus papillomas: case report and review of the literature. J Neurol Surg reports. 2014;75:e27-32. </w:t>
      </w:r>
    </w:p>
    <w:p w:rsidR="00433B6E" w:rsidRPr="00E50CE1" w:rsidRDefault="00433B6E" w:rsidP="00433B6E">
      <w:pPr>
        <w:widowControl w:val="0"/>
        <w:autoSpaceDE w:val="0"/>
        <w:autoSpaceDN w:val="0"/>
        <w:adjustRightInd w:val="0"/>
        <w:spacing w:line="480" w:lineRule="auto"/>
        <w:ind w:left="640" w:hanging="640"/>
        <w:rPr>
          <w:rFonts w:ascii="Times New Roman" w:eastAsia="Times New Roman" w:hAnsi="Times New Roman" w:cs="Times New Roman"/>
          <w:noProof/>
          <w:sz w:val="24"/>
          <w:szCs w:val="24"/>
          <w:lang w:val="en-GB" w:eastAsia="en-GB"/>
        </w:rPr>
      </w:pPr>
      <w:r w:rsidRPr="00E50CE1">
        <w:rPr>
          <w:rFonts w:ascii="Times New Roman" w:eastAsia="Times New Roman" w:hAnsi="Times New Roman" w:cs="Times New Roman"/>
          <w:noProof/>
          <w:sz w:val="24"/>
          <w:szCs w:val="24"/>
          <w:lang w:val="en-GB" w:eastAsia="en-GB"/>
        </w:rPr>
        <w:t xml:space="preserve">6. </w:t>
      </w:r>
      <w:r w:rsidRPr="00E50CE1">
        <w:rPr>
          <w:rFonts w:ascii="Times New Roman" w:eastAsia="Times New Roman" w:hAnsi="Times New Roman" w:cs="Times New Roman"/>
          <w:noProof/>
          <w:sz w:val="24"/>
          <w:szCs w:val="24"/>
          <w:lang w:val="en-GB" w:eastAsia="en-GB"/>
        </w:rPr>
        <w:tab/>
        <w:t xml:space="preserve">Cannon DM, Mohindra P, Gondi V, Kruser TJ, Kozak KR. Choroid plexus tumour epidemiology and outcomes: implications for surgical and radiotherapeutic management. J Neurooncol. 2015;121:151–7. </w:t>
      </w:r>
    </w:p>
    <w:p w:rsidR="00433B6E" w:rsidRPr="00E50CE1" w:rsidRDefault="00433B6E" w:rsidP="00433B6E">
      <w:pPr>
        <w:widowControl w:val="0"/>
        <w:autoSpaceDE w:val="0"/>
        <w:autoSpaceDN w:val="0"/>
        <w:adjustRightInd w:val="0"/>
        <w:spacing w:line="480" w:lineRule="auto"/>
        <w:ind w:left="640" w:hanging="640"/>
        <w:rPr>
          <w:rFonts w:ascii="Times New Roman" w:eastAsia="Times New Roman" w:hAnsi="Times New Roman" w:cs="Times New Roman"/>
          <w:noProof/>
          <w:sz w:val="24"/>
          <w:szCs w:val="24"/>
          <w:lang w:val="en-GB" w:eastAsia="en-GB"/>
        </w:rPr>
      </w:pPr>
      <w:r w:rsidRPr="00E50CE1">
        <w:rPr>
          <w:rFonts w:ascii="Times New Roman" w:eastAsia="Times New Roman" w:hAnsi="Times New Roman" w:cs="Times New Roman"/>
          <w:noProof/>
          <w:sz w:val="24"/>
          <w:szCs w:val="24"/>
          <w:lang w:val="en-GB" w:eastAsia="en-GB"/>
        </w:rPr>
        <w:t xml:space="preserve">7. </w:t>
      </w:r>
      <w:r w:rsidRPr="00E50CE1">
        <w:rPr>
          <w:rFonts w:ascii="Times New Roman" w:eastAsia="Times New Roman" w:hAnsi="Times New Roman" w:cs="Times New Roman"/>
          <w:noProof/>
          <w:sz w:val="24"/>
          <w:szCs w:val="24"/>
          <w:lang w:val="en-GB" w:eastAsia="en-GB"/>
        </w:rPr>
        <w:tab/>
        <w:t xml:space="preserve">Sethi D, Arora R, Garg K, Tanwar P. Choroid plexus papilloma. Asian J Neurosurg. 2017;12:139–41. </w:t>
      </w:r>
    </w:p>
    <w:p w:rsidR="00433B6E" w:rsidRPr="00E50CE1" w:rsidRDefault="00433B6E" w:rsidP="00433B6E">
      <w:pPr>
        <w:widowControl w:val="0"/>
        <w:autoSpaceDE w:val="0"/>
        <w:autoSpaceDN w:val="0"/>
        <w:adjustRightInd w:val="0"/>
        <w:spacing w:line="480" w:lineRule="auto"/>
        <w:ind w:left="640" w:hanging="640"/>
        <w:rPr>
          <w:rFonts w:ascii="Times New Roman" w:eastAsia="Times New Roman" w:hAnsi="Times New Roman" w:cs="Times New Roman"/>
          <w:noProof/>
          <w:sz w:val="24"/>
          <w:szCs w:val="24"/>
          <w:lang w:val="en-GB" w:eastAsia="en-GB"/>
        </w:rPr>
      </w:pPr>
      <w:r w:rsidRPr="00E50CE1">
        <w:rPr>
          <w:rFonts w:ascii="Times New Roman" w:eastAsia="Times New Roman" w:hAnsi="Times New Roman" w:cs="Times New Roman"/>
          <w:noProof/>
          <w:sz w:val="24"/>
          <w:szCs w:val="24"/>
          <w:lang w:val="en-GB" w:eastAsia="en-GB"/>
        </w:rPr>
        <w:t xml:space="preserve">8. </w:t>
      </w:r>
      <w:r w:rsidRPr="00E50CE1">
        <w:rPr>
          <w:rFonts w:ascii="Times New Roman" w:eastAsia="Times New Roman" w:hAnsi="Times New Roman" w:cs="Times New Roman"/>
          <w:noProof/>
          <w:sz w:val="24"/>
          <w:szCs w:val="24"/>
          <w:lang w:val="en-GB" w:eastAsia="en-GB"/>
        </w:rPr>
        <w:tab/>
        <w:t xml:space="preserve">Wrede B, Hasselblatt M, Peters O, Thall PF, Kutluk T, Moghrabi A, et al. Atypical choroid plexus papilloma: clinical experience in the CPT-SIOP-2000 study. J Neurooncol. 2009;95:383–92. </w:t>
      </w:r>
    </w:p>
    <w:p w:rsidR="00433B6E" w:rsidRPr="00E50CE1" w:rsidRDefault="00433B6E" w:rsidP="00433B6E">
      <w:pPr>
        <w:widowControl w:val="0"/>
        <w:autoSpaceDE w:val="0"/>
        <w:autoSpaceDN w:val="0"/>
        <w:adjustRightInd w:val="0"/>
        <w:spacing w:line="480" w:lineRule="auto"/>
        <w:ind w:left="640" w:hanging="640"/>
        <w:rPr>
          <w:rFonts w:ascii="Times New Roman" w:eastAsia="Times New Roman" w:hAnsi="Times New Roman" w:cs="Times New Roman"/>
          <w:noProof/>
          <w:sz w:val="24"/>
          <w:szCs w:val="24"/>
          <w:lang w:val="en-GB" w:eastAsia="en-GB"/>
        </w:rPr>
      </w:pPr>
      <w:r w:rsidRPr="00E50CE1">
        <w:rPr>
          <w:rFonts w:ascii="Times New Roman" w:eastAsia="Times New Roman" w:hAnsi="Times New Roman" w:cs="Times New Roman"/>
          <w:noProof/>
          <w:sz w:val="24"/>
          <w:szCs w:val="24"/>
          <w:lang w:val="en-GB" w:eastAsia="en-GB"/>
        </w:rPr>
        <w:t xml:space="preserve">9. </w:t>
      </w:r>
      <w:r w:rsidRPr="00E50CE1">
        <w:rPr>
          <w:rFonts w:ascii="Times New Roman" w:eastAsia="Times New Roman" w:hAnsi="Times New Roman" w:cs="Times New Roman"/>
          <w:noProof/>
          <w:sz w:val="24"/>
          <w:szCs w:val="24"/>
          <w:lang w:val="en-GB" w:eastAsia="en-GB"/>
        </w:rPr>
        <w:tab/>
        <w:t xml:space="preserve">Reddy D, Gunnarsson T, Scheinemann K, Provias JP, Singh SK. Combined staged endoscopic and microsurgical approach of a third ventricular choroid plexus papilloma in an infant. Minim Invasive Neurosurg. 2011;54:264–7. </w:t>
      </w:r>
    </w:p>
    <w:p w:rsidR="00433B6E" w:rsidRPr="00E50CE1" w:rsidRDefault="00433B6E" w:rsidP="00433B6E">
      <w:pPr>
        <w:widowControl w:val="0"/>
        <w:autoSpaceDE w:val="0"/>
        <w:autoSpaceDN w:val="0"/>
        <w:adjustRightInd w:val="0"/>
        <w:spacing w:line="480" w:lineRule="auto"/>
        <w:ind w:left="640" w:hanging="640"/>
        <w:rPr>
          <w:rFonts w:ascii="Times New Roman" w:eastAsia="Times New Roman" w:hAnsi="Times New Roman" w:cs="Times New Roman"/>
          <w:noProof/>
          <w:sz w:val="24"/>
          <w:szCs w:val="24"/>
          <w:lang w:val="en-GB" w:eastAsia="en-GB"/>
        </w:rPr>
      </w:pPr>
      <w:r w:rsidRPr="00E50CE1">
        <w:rPr>
          <w:rFonts w:ascii="Times New Roman" w:eastAsia="Times New Roman" w:hAnsi="Times New Roman" w:cs="Times New Roman"/>
          <w:noProof/>
          <w:sz w:val="24"/>
          <w:szCs w:val="24"/>
          <w:lang w:val="en-GB" w:eastAsia="en-GB"/>
        </w:rPr>
        <w:t xml:space="preserve">10. </w:t>
      </w:r>
      <w:r w:rsidRPr="00E50CE1">
        <w:rPr>
          <w:rFonts w:ascii="Times New Roman" w:eastAsia="Times New Roman" w:hAnsi="Times New Roman" w:cs="Times New Roman"/>
          <w:noProof/>
          <w:sz w:val="24"/>
          <w:szCs w:val="24"/>
          <w:lang w:val="en-GB" w:eastAsia="en-GB"/>
        </w:rPr>
        <w:tab/>
        <w:t xml:space="preserve">Smith AB, Rushing EJ, Smirniotopoulos JG. From the Archives of the AFIP: Lesions of the Pineal Region: Radiologic-Pathologic Correlation. RadioGraphics. 2010;30:2001–20. </w:t>
      </w:r>
    </w:p>
    <w:p w:rsidR="00433B6E" w:rsidRPr="00E50CE1" w:rsidRDefault="00433B6E" w:rsidP="00433B6E">
      <w:pPr>
        <w:widowControl w:val="0"/>
        <w:autoSpaceDE w:val="0"/>
        <w:autoSpaceDN w:val="0"/>
        <w:adjustRightInd w:val="0"/>
        <w:spacing w:line="480" w:lineRule="auto"/>
        <w:ind w:left="640" w:hanging="640"/>
        <w:rPr>
          <w:rFonts w:ascii="Times New Roman" w:eastAsia="Times New Roman" w:hAnsi="Times New Roman" w:cs="Times New Roman"/>
          <w:noProof/>
          <w:sz w:val="24"/>
          <w:szCs w:val="24"/>
          <w:lang w:val="en-GB" w:eastAsia="en-GB"/>
        </w:rPr>
      </w:pPr>
      <w:r w:rsidRPr="00E50CE1">
        <w:rPr>
          <w:rFonts w:ascii="Times New Roman" w:eastAsia="Times New Roman" w:hAnsi="Times New Roman" w:cs="Times New Roman"/>
          <w:noProof/>
          <w:sz w:val="24"/>
          <w:szCs w:val="24"/>
          <w:lang w:val="en-GB" w:eastAsia="en-GB"/>
        </w:rPr>
        <w:t xml:space="preserve">11. </w:t>
      </w:r>
      <w:r w:rsidRPr="00E50CE1">
        <w:rPr>
          <w:rFonts w:ascii="Times New Roman" w:eastAsia="Times New Roman" w:hAnsi="Times New Roman" w:cs="Times New Roman"/>
          <w:noProof/>
          <w:sz w:val="24"/>
          <w:szCs w:val="24"/>
          <w:lang w:val="en-GB" w:eastAsia="en-GB"/>
        </w:rPr>
        <w:tab/>
        <w:t xml:space="preserve">Keating RF, Goodrich JT, Packer RJ. Tumours of the pediatric central nervous system. </w:t>
      </w:r>
      <w:r w:rsidRPr="00E50CE1">
        <w:rPr>
          <w:rFonts w:ascii="Times New Roman" w:eastAsia="Times New Roman" w:hAnsi="Times New Roman" w:cs="Times New Roman"/>
          <w:noProof/>
          <w:sz w:val="24"/>
          <w:szCs w:val="24"/>
          <w:lang w:val="en-GB" w:eastAsia="en-GB"/>
        </w:rPr>
        <w:lastRenderedPageBreak/>
        <w:t xml:space="preserve">Second. New York: Thieme; 2001. 549 p. </w:t>
      </w:r>
    </w:p>
    <w:p w:rsidR="00433B6E" w:rsidRPr="00E50CE1" w:rsidRDefault="00433B6E" w:rsidP="00433B6E">
      <w:pPr>
        <w:widowControl w:val="0"/>
        <w:autoSpaceDE w:val="0"/>
        <w:autoSpaceDN w:val="0"/>
        <w:adjustRightInd w:val="0"/>
        <w:spacing w:line="480" w:lineRule="auto"/>
        <w:ind w:left="640" w:hanging="640"/>
        <w:rPr>
          <w:rFonts w:ascii="Times New Roman" w:eastAsia="Times New Roman" w:hAnsi="Times New Roman" w:cs="Times New Roman"/>
          <w:noProof/>
          <w:sz w:val="24"/>
          <w:szCs w:val="24"/>
          <w:lang w:val="en-GB" w:eastAsia="en-GB"/>
        </w:rPr>
      </w:pPr>
      <w:r w:rsidRPr="00E50CE1">
        <w:rPr>
          <w:rFonts w:ascii="Times New Roman" w:eastAsia="Times New Roman" w:hAnsi="Times New Roman" w:cs="Times New Roman"/>
          <w:noProof/>
          <w:sz w:val="24"/>
          <w:szCs w:val="24"/>
          <w:lang w:val="en-GB" w:eastAsia="en-GB"/>
        </w:rPr>
        <w:t xml:space="preserve">12. </w:t>
      </w:r>
      <w:r w:rsidRPr="00E50CE1">
        <w:rPr>
          <w:rFonts w:ascii="Times New Roman" w:eastAsia="Times New Roman" w:hAnsi="Times New Roman" w:cs="Times New Roman"/>
          <w:noProof/>
          <w:sz w:val="24"/>
          <w:szCs w:val="24"/>
          <w:lang w:val="en-GB" w:eastAsia="en-GB"/>
        </w:rPr>
        <w:tab/>
        <w:t xml:space="preserve">Glastonbury CM, Osborn AG, Salzman KL. Masses and Malformations of the Third Ventricle: Normal Anatomic Relationships and Differential Diagnoses. RadioGraphics. 2011;31:1889–905. </w:t>
      </w:r>
    </w:p>
    <w:p w:rsidR="00433B6E" w:rsidRPr="00E50CE1" w:rsidRDefault="00433B6E" w:rsidP="00433B6E">
      <w:pPr>
        <w:widowControl w:val="0"/>
        <w:autoSpaceDE w:val="0"/>
        <w:autoSpaceDN w:val="0"/>
        <w:adjustRightInd w:val="0"/>
        <w:spacing w:line="480" w:lineRule="auto"/>
        <w:ind w:left="640" w:hanging="640"/>
        <w:rPr>
          <w:rFonts w:ascii="Times New Roman" w:eastAsia="Times New Roman" w:hAnsi="Times New Roman" w:cs="Times New Roman"/>
          <w:noProof/>
          <w:sz w:val="24"/>
          <w:szCs w:val="24"/>
          <w:lang w:val="en-GB" w:eastAsia="en-GB"/>
        </w:rPr>
      </w:pPr>
      <w:r w:rsidRPr="00E50CE1">
        <w:rPr>
          <w:rFonts w:ascii="Times New Roman" w:eastAsia="Times New Roman" w:hAnsi="Times New Roman" w:cs="Times New Roman"/>
          <w:noProof/>
          <w:sz w:val="24"/>
          <w:szCs w:val="24"/>
          <w:lang w:val="en-GB" w:eastAsia="en-GB"/>
        </w:rPr>
        <w:t xml:space="preserve">13. </w:t>
      </w:r>
      <w:r w:rsidRPr="00E50CE1">
        <w:rPr>
          <w:rFonts w:ascii="Times New Roman" w:eastAsia="Times New Roman" w:hAnsi="Times New Roman" w:cs="Times New Roman"/>
          <w:noProof/>
          <w:sz w:val="24"/>
          <w:szCs w:val="24"/>
          <w:lang w:val="en-GB" w:eastAsia="en-GB"/>
        </w:rPr>
        <w:tab/>
        <w:t xml:space="preserve">Gradin WC, Taylon C, Fruin AH. Choroid Plexus Papilloma of the Third Ventricle: Case Report and Review of the Literature. Neurosurgery. 1983;12:217–20. </w:t>
      </w:r>
    </w:p>
    <w:p w:rsidR="00433B6E" w:rsidRPr="00E50CE1" w:rsidRDefault="00433B6E" w:rsidP="00433B6E">
      <w:pPr>
        <w:widowControl w:val="0"/>
        <w:autoSpaceDE w:val="0"/>
        <w:autoSpaceDN w:val="0"/>
        <w:adjustRightInd w:val="0"/>
        <w:spacing w:line="480" w:lineRule="auto"/>
        <w:ind w:left="640" w:hanging="640"/>
        <w:rPr>
          <w:rFonts w:ascii="Times New Roman" w:eastAsia="Times New Roman" w:hAnsi="Times New Roman" w:cs="Times New Roman"/>
          <w:noProof/>
          <w:sz w:val="24"/>
          <w:szCs w:val="24"/>
          <w:lang w:val="en-GB" w:eastAsia="en-GB"/>
        </w:rPr>
      </w:pPr>
      <w:r w:rsidRPr="00E50CE1">
        <w:rPr>
          <w:rFonts w:ascii="Times New Roman" w:eastAsia="Times New Roman" w:hAnsi="Times New Roman" w:cs="Times New Roman"/>
          <w:noProof/>
          <w:sz w:val="24"/>
          <w:szCs w:val="24"/>
          <w:lang w:val="en-GB" w:eastAsia="en-GB"/>
        </w:rPr>
        <w:t xml:space="preserve">14. </w:t>
      </w:r>
      <w:r w:rsidRPr="00E50CE1">
        <w:rPr>
          <w:rFonts w:ascii="Times New Roman" w:eastAsia="Times New Roman" w:hAnsi="Times New Roman" w:cs="Times New Roman"/>
          <w:noProof/>
          <w:sz w:val="24"/>
          <w:szCs w:val="24"/>
          <w:lang w:val="en-GB" w:eastAsia="en-GB"/>
        </w:rPr>
        <w:tab/>
        <w:t xml:space="preserve">Fujimura M, Onuma T, Kameyama M, Motohashi O, Kon H, Yamamoto K, et al. Hydrocephalus due to cerebrospinal fluid overproduction by bilateral choroid plexus papillomas. Child’s Nerv Syst. 2004;20:485–8. </w:t>
      </w:r>
    </w:p>
    <w:p w:rsidR="00433B6E" w:rsidRPr="00E50CE1" w:rsidRDefault="00433B6E" w:rsidP="00433B6E">
      <w:pPr>
        <w:widowControl w:val="0"/>
        <w:autoSpaceDE w:val="0"/>
        <w:autoSpaceDN w:val="0"/>
        <w:adjustRightInd w:val="0"/>
        <w:spacing w:line="480" w:lineRule="auto"/>
        <w:ind w:left="640" w:hanging="640"/>
        <w:rPr>
          <w:rFonts w:ascii="Times New Roman" w:eastAsia="Times New Roman" w:hAnsi="Times New Roman" w:cs="Times New Roman"/>
          <w:noProof/>
          <w:sz w:val="24"/>
          <w:szCs w:val="24"/>
          <w:lang w:val="en-GB" w:eastAsia="en-GB"/>
        </w:rPr>
      </w:pPr>
      <w:r w:rsidRPr="00E50CE1">
        <w:rPr>
          <w:rFonts w:ascii="Times New Roman" w:eastAsia="Times New Roman" w:hAnsi="Times New Roman" w:cs="Times New Roman"/>
          <w:noProof/>
          <w:sz w:val="24"/>
          <w:szCs w:val="24"/>
          <w:lang w:val="en-GB" w:eastAsia="en-GB"/>
        </w:rPr>
        <w:t xml:space="preserve">15. </w:t>
      </w:r>
      <w:r w:rsidRPr="00E50CE1">
        <w:rPr>
          <w:rFonts w:ascii="Times New Roman" w:eastAsia="Times New Roman" w:hAnsi="Times New Roman" w:cs="Times New Roman"/>
          <w:noProof/>
          <w:sz w:val="24"/>
          <w:szCs w:val="24"/>
          <w:lang w:val="en-GB" w:eastAsia="en-GB"/>
        </w:rPr>
        <w:tab/>
        <w:t xml:space="preserve">Nimjee SM, Powers CJ, McLendon RE, Grant GA, Fuchs HE. Single-stage bilateral choroid plexectomy for choroid plexus papilloma in a patient presenting with high cerebrospinal fluid output. J Neurosurg Pediatr. 2010;5:342–5. </w:t>
      </w:r>
    </w:p>
    <w:p w:rsidR="00433B6E" w:rsidRPr="00E50CE1" w:rsidRDefault="00433B6E" w:rsidP="00433B6E">
      <w:pPr>
        <w:widowControl w:val="0"/>
        <w:autoSpaceDE w:val="0"/>
        <w:autoSpaceDN w:val="0"/>
        <w:adjustRightInd w:val="0"/>
        <w:spacing w:line="480" w:lineRule="auto"/>
        <w:ind w:left="640" w:hanging="640"/>
        <w:rPr>
          <w:rFonts w:ascii="Times New Roman" w:eastAsia="Times New Roman" w:hAnsi="Times New Roman" w:cs="Times New Roman"/>
          <w:noProof/>
          <w:sz w:val="24"/>
          <w:szCs w:val="24"/>
          <w:lang w:val="en-GB" w:eastAsia="en-GB"/>
        </w:rPr>
      </w:pPr>
      <w:r w:rsidRPr="00E50CE1">
        <w:rPr>
          <w:rFonts w:ascii="Times New Roman" w:eastAsia="Times New Roman" w:hAnsi="Times New Roman" w:cs="Times New Roman"/>
          <w:noProof/>
          <w:sz w:val="24"/>
          <w:szCs w:val="24"/>
          <w:lang w:val="en-GB" w:eastAsia="en-GB"/>
        </w:rPr>
        <w:t xml:space="preserve">16. </w:t>
      </w:r>
      <w:r w:rsidRPr="00E50CE1">
        <w:rPr>
          <w:rFonts w:ascii="Times New Roman" w:eastAsia="Times New Roman" w:hAnsi="Times New Roman" w:cs="Times New Roman"/>
          <w:noProof/>
          <w:sz w:val="24"/>
          <w:szCs w:val="24"/>
          <w:lang w:val="en-GB" w:eastAsia="en-GB"/>
        </w:rPr>
        <w:tab/>
        <w:t xml:space="preserve">Zhou W-J-L, Wang X, Peng J-Y, Ma S-C, Zhang D-N, Guan X-D, et al. Clinical Features and Prognostic Risk Factors of Choroid Plexus Tumours in Children. Chin Med J (Engl). 2018;131:2938–46. </w:t>
      </w:r>
    </w:p>
    <w:p w:rsidR="00433B6E" w:rsidRPr="00E50CE1" w:rsidRDefault="00433B6E" w:rsidP="00433B6E">
      <w:pPr>
        <w:widowControl w:val="0"/>
        <w:autoSpaceDE w:val="0"/>
        <w:autoSpaceDN w:val="0"/>
        <w:adjustRightInd w:val="0"/>
        <w:spacing w:line="480" w:lineRule="auto"/>
        <w:ind w:left="640" w:hanging="640"/>
        <w:rPr>
          <w:rFonts w:ascii="Times New Roman" w:eastAsia="Times New Roman" w:hAnsi="Times New Roman" w:cs="Times New Roman"/>
          <w:noProof/>
          <w:sz w:val="24"/>
          <w:szCs w:val="24"/>
          <w:lang w:val="en-GB" w:eastAsia="en-GB"/>
        </w:rPr>
      </w:pPr>
      <w:r w:rsidRPr="00E50CE1">
        <w:rPr>
          <w:rFonts w:ascii="Times New Roman" w:eastAsia="Times New Roman" w:hAnsi="Times New Roman" w:cs="Times New Roman"/>
          <w:noProof/>
          <w:sz w:val="24"/>
          <w:szCs w:val="24"/>
          <w:lang w:val="en-GB" w:eastAsia="en-GB"/>
        </w:rPr>
        <w:t xml:space="preserve">17. </w:t>
      </w:r>
      <w:r w:rsidRPr="00E50CE1">
        <w:rPr>
          <w:rFonts w:ascii="Times New Roman" w:eastAsia="Times New Roman" w:hAnsi="Times New Roman" w:cs="Times New Roman"/>
          <w:noProof/>
          <w:sz w:val="24"/>
          <w:szCs w:val="24"/>
          <w:lang w:val="en-GB" w:eastAsia="en-GB"/>
        </w:rPr>
        <w:tab/>
        <w:t xml:space="preserve">Santos MM, Souweidane MM. Purely endoscopic resection of a choroid plexus papilloma of the third ventricle: case report. J Neurosurg Pediatr. 2015;16:54–7. </w:t>
      </w:r>
    </w:p>
    <w:p w:rsidR="00433B6E" w:rsidRPr="00E50CE1" w:rsidRDefault="00433B6E" w:rsidP="00433B6E">
      <w:pPr>
        <w:widowControl w:val="0"/>
        <w:autoSpaceDE w:val="0"/>
        <w:autoSpaceDN w:val="0"/>
        <w:adjustRightInd w:val="0"/>
        <w:spacing w:line="480" w:lineRule="auto"/>
        <w:ind w:left="640" w:hanging="640"/>
        <w:rPr>
          <w:rFonts w:ascii="Times New Roman" w:eastAsia="Times New Roman" w:hAnsi="Times New Roman" w:cs="Times New Roman"/>
          <w:noProof/>
          <w:sz w:val="24"/>
          <w:szCs w:val="24"/>
          <w:lang w:val="en-GB" w:eastAsia="en-GB"/>
        </w:rPr>
      </w:pPr>
      <w:r w:rsidRPr="00E50CE1">
        <w:rPr>
          <w:rFonts w:ascii="Times New Roman" w:eastAsia="Times New Roman" w:hAnsi="Times New Roman" w:cs="Times New Roman"/>
          <w:noProof/>
          <w:sz w:val="24"/>
          <w:szCs w:val="24"/>
          <w:lang w:val="en-GB" w:eastAsia="en-GB"/>
        </w:rPr>
        <w:t xml:space="preserve">18. </w:t>
      </w:r>
      <w:r w:rsidRPr="00E50CE1">
        <w:rPr>
          <w:rFonts w:ascii="Times New Roman" w:eastAsia="Times New Roman" w:hAnsi="Times New Roman" w:cs="Times New Roman"/>
          <w:noProof/>
          <w:sz w:val="24"/>
          <w:szCs w:val="24"/>
          <w:lang w:val="en-GB" w:eastAsia="en-GB"/>
        </w:rPr>
        <w:tab/>
        <w:t xml:space="preserve">Misiolek KA, Osborn ZG, Hauser N, Thomas D, Goodman JF, Fulkerson DH. Rapidly growing, multifocal, benign choroid plexus tumour in an infant: case report. J Neurosurg Pediatr. 2019 22;23:1–6. </w:t>
      </w:r>
    </w:p>
    <w:p w:rsidR="00433B6E" w:rsidRPr="00E50CE1" w:rsidRDefault="00433B6E" w:rsidP="00433B6E">
      <w:pPr>
        <w:widowControl w:val="0"/>
        <w:autoSpaceDE w:val="0"/>
        <w:autoSpaceDN w:val="0"/>
        <w:adjustRightInd w:val="0"/>
        <w:spacing w:line="480" w:lineRule="auto"/>
        <w:ind w:left="640" w:hanging="640"/>
        <w:rPr>
          <w:rFonts w:ascii="Times New Roman" w:eastAsia="Times New Roman" w:hAnsi="Times New Roman" w:cs="Times New Roman"/>
          <w:noProof/>
          <w:sz w:val="24"/>
          <w:szCs w:val="24"/>
          <w:lang w:val="en-GB" w:eastAsia="en-GB"/>
        </w:rPr>
      </w:pPr>
      <w:r w:rsidRPr="00E50CE1">
        <w:rPr>
          <w:rFonts w:ascii="Times New Roman" w:eastAsia="Times New Roman" w:hAnsi="Times New Roman" w:cs="Times New Roman"/>
          <w:noProof/>
          <w:sz w:val="24"/>
          <w:szCs w:val="24"/>
          <w:lang w:val="en-GB" w:eastAsia="en-GB"/>
        </w:rPr>
        <w:t xml:space="preserve">19. </w:t>
      </w:r>
      <w:r w:rsidRPr="00E50CE1">
        <w:rPr>
          <w:rFonts w:ascii="Times New Roman" w:eastAsia="Times New Roman" w:hAnsi="Times New Roman" w:cs="Times New Roman"/>
          <w:noProof/>
          <w:sz w:val="24"/>
          <w:szCs w:val="24"/>
          <w:lang w:val="en-GB" w:eastAsia="en-GB"/>
        </w:rPr>
        <w:tab/>
        <w:t xml:space="preserve">Thomas C, Ruland V, Kordes U, Hartung S, Capper D, Pietsch T, et al. Pediatric atypical choroid plexus papilloma reconsidered: increased mitotic activity is prognostic only in older children. Acta Neuropathol. 2015;129:925–7. </w:t>
      </w:r>
    </w:p>
    <w:p w:rsidR="00433B6E" w:rsidRPr="00E50CE1" w:rsidRDefault="00433B6E" w:rsidP="00433B6E">
      <w:pPr>
        <w:widowControl w:val="0"/>
        <w:autoSpaceDE w:val="0"/>
        <w:autoSpaceDN w:val="0"/>
        <w:adjustRightInd w:val="0"/>
        <w:spacing w:line="480" w:lineRule="auto"/>
        <w:ind w:left="640" w:hanging="640"/>
        <w:rPr>
          <w:rFonts w:ascii="Times New Roman" w:eastAsia="Times New Roman" w:hAnsi="Times New Roman" w:cs="Times New Roman"/>
          <w:noProof/>
          <w:sz w:val="24"/>
          <w:szCs w:val="24"/>
          <w:lang w:val="en-GB" w:eastAsia="en-GB"/>
        </w:rPr>
      </w:pPr>
      <w:r w:rsidRPr="00E50CE1">
        <w:rPr>
          <w:rFonts w:ascii="Times New Roman" w:eastAsia="Times New Roman" w:hAnsi="Times New Roman" w:cs="Times New Roman"/>
          <w:noProof/>
          <w:sz w:val="24"/>
          <w:szCs w:val="24"/>
          <w:lang w:val="en-GB" w:eastAsia="en-GB"/>
        </w:rPr>
        <w:lastRenderedPageBreak/>
        <w:t xml:space="preserve">20. </w:t>
      </w:r>
      <w:r w:rsidRPr="00E50CE1">
        <w:rPr>
          <w:rFonts w:ascii="Times New Roman" w:eastAsia="Times New Roman" w:hAnsi="Times New Roman" w:cs="Times New Roman"/>
          <w:noProof/>
          <w:sz w:val="24"/>
          <w:szCs w:val="24"/>
          <w:lang w:val="en-GB" w:eastAsia="en-GB"/>
        </w:rPr>
        <w:tab/>
        <w:t xml:space="preserve">Taggard DA, Menezes AH. Three choroid plexus papillomas in a patient with Aicardi syndrome. A case report. Pediatr Neurosurg. 2000;33:219–23. </w:t>
      </w:r>
    </w:p>
    <w:p w:rsidR="00433B6E" w:rsidRPr="00E50CE1" w:rsidRDefault="00433B6E" w:rsidP="00433B6E">
      <w:pPr>
        <w:widowControl w:val="0"/>
        <w:autoSpaceDE w:val="0"/>
        <w:autoSpaceDN w:val="0"/>
        <w:adjustRightInd w:val="0"/>
        <w:spacing w:line="480" w:lineRule="auto"/>
        <w:ind w:left="640" w:hanging="640"/>
        <w:rPr>
          <w:rFonts w:ascii="Times New Roman" w:eastAsia="Times New Roman" w:hAnsi="Times New Roman" w:cs="Times New Roman"/>
          <w:noProof/>
          <w:sz w:val="24"/>
          <w:szCs w:val="24"/>
          <w:lang w:val="en-GB" w:eastAsia="en-GB"/>
        </w:rPr>
      </w:pPr>
      <w:r w:rsidRPr="00E50CE1">
        <w:rPr>
          <w:rFonts w:ascii="Times New Roman" w:eastAsia="Times New Roman" w:hAnsi="Times New Roman" w:cs="Times New Roman"/>
          <w:noProof/>
          <w:sz w:val="24"/>
          <w:szCs w:val="24"/>
          <w:lang w:val="en-GB" w:eastAsia="en-GB"/>
        </w:rPr>
        <w:t xml:space="preserve">21. </w:t>
      </w:r>
      <w:r w:rsidRPr="00E50CE1">
        <w:rPr>
          <w:rFonts w:ascii="Times New Roman" w:eastAsia="Times New Roman" w:hAnsi="Times New Roman" w:cs="Times New Roman"/>
          <w:noProof/>
          <w:sz w:val="24"/>
          <w:szCs w:val="24"/>
          <w:lang w:val="en-GB" w:eastAsia="en-GB"/>
        </w:rPr>
        <w:tab/>
        <w:t xml:space="preserve">Pianetti Filho G, Fonseca LF, da Silva MC. Choroid plexus papilloma and Aicardi syndrome: case report. Arq Neuropsiquiatr. 2002;60:1008–10. </w:t>
      </w:r>
    </w:p>
    <w:p w:rsidR="00433B6E" w:rsidRPr="00E50CE1" w:rsidRDefault="00433B6E" w:rsidP="00433B6E">
      <w:pPr>
        <w:widowControl w:val="0"/>
        <w:autoSpaceDE w:val="0"/>
        <w:autoSpaceDN w:val="0"/>
        <w:adjustRightInd w:val="0"/>
        <w:spacing w:line="480" w:lineRule="auto"/>
        <w:ind w:left="640" w:hanging="640"/>
        <w:rPr>
          <w:rFonts w:ascii="Times New Roman" w:eastAsia="Times New Roman" w:hAnsi="Times New Roman" w:cs="Times New Roman"/>
          <w:noProof/>
          <w:sz w:val="24"/>
          <w:szCs w:val="24"/>
          <w:lang w:val="en-GB" w:eastAsia="en-GB"/>
        </w:rPr>
      </w:pPr>
      <w:r w:rsidRPr="00E50CE1">
        <w:rPr>
          <w:rFonts w:ascii="Times New Roman" w:eastAsia="Times New Roman" w:hAnsi="Times New Roman" w:cs="Times New Roman"/>
          <w:noProof/>
          <w:sz w:val="24"/>
          <w:szCs w:val="24"/>
          <w:lang w:val="en-GB" w:eastAsia="en-GB"/>
        </w:rPr>
        <w:t xml:space="preserve">22. </w:t>
      </w:r>
      <w:r w:rsidRPr="00E50CE1">
        <w:rPr>
          <w:rFonts w:ascii="Times New Roman" w:eastAsia="Times New Roman" w:hAnsi="Times New Roman" w:cs="Times New Roman"/>
          <w:noProof/>
          <w:sz w:val="24"/>
          <w:szCs w:val="24"/>
          <w:lang w:val="en-GB" w:eastAsia="en-GB"/>
        </w:rPr>
        <w:tab/>
        <w:t xml:space="preserve">Jeibmann A, Hasselblatt M, Gerss J, Wrede B, Egensperger R, Beschorner R, et al. Prognostic Implications of Atypical Histologic Features in Choroid Plexus Papilloma. J Neuropathol Exp Neurol. 2006;65:1069–73. </w:t>
      </w:r>
    </w:p>
    <w:p w:rsidR="00433B6E" w:rsidRPr="00E50CE1" w:rsidRDefault="00433B6E" w:rsidP="00433B6E">
      <w:pPr>
        <w:widowControl w:val="0"/>
        <w:autoSpaceDE w:val="0"/>
        <w:autoSpaceDN w:val="0"/>
        <w:adjustRightInd w:val="0"/>
        <w:spacing w:line="480" w:lineRule="auto"/>
        <w:ind w:left="640" w:hanging="640"/>
        <w:rPr>
          <w:rFonts w:ascii="Times New Roman" w:eastAsia="Times New Roman" w:hAnsi="Times New Roman" w:cs="Times New Roman"/>
          <w:noProof/>
          <w:sz w:val="24"/>
          <w:szCs w:val="24"/>
          <w:lang w:val="en-GB" w:eastAsia="en-GB"/>
        </w:rPr>
      </w:pPr>
      <w:r w:rsidRPr="00E50CE1">
        <w:rPr>
          <w:rFonts w:ascii="Times New Roman" w:eastAsia="Times New Roman" w:hAnsi="Times New Roman" w:cs="Times New Roman"/>
          <w:noProof/>
          <w:sz w:val="24"/>
          <w:szCs w:val="24"/>
          <w:lang w:val="en-GB" w:eastAsia="en-GB"/>
        </w:rPr>
        <w:t xml:space="preserve">23. </w:t>
      </w:r>
      <w:r w:rsidRPr="00E50CE1">
        <w:rPr>
          <w:rFonts w:ascii="Times New Roman" w:eastAsia="Times New Roman" w:hAnsi="Times New Roman" w:cs="Times New Roman"/>
          <w:noProof/>
          <w:sz w:val="24"/>
          <w:szCs w:val="24"/>
          <w:lang w:val="en-GB" w:eastAsia="en-GB"/>
        </w:rPr>
        <w:tab/>
        <w:t xml:space="preserve">Louis DN, Ohgaki H, Wiestler OD, Cavenee WK, Burger PC, Jouvet A, et al. The 2007 WHO classification of tumours of the central nervous system. Acta Neuropathol. 2007;114:97–109. </w:t>
      </w:r>
    </w:p>
    <w:p w:rsidR="00433B6E" w:rsidRPr="00E50CE1" w:rsidRDefault="00433B6E" w:rsidP="00433B6E">
      <w:pPr>
        <w:widowControl w:val="0"/>
        <w:autoSpaceDE w:val="0"/>
        <w:autoSpaceDN w:val="0"/>
        <w:adjustRightInd w:val="0"/>
        <w:spacing w:line="480" w:lineRule="auto"/>
        <w:ind w:left="640" w:hanging="640"/>
        <w:rPr>
          <w:rFonts w:ascii="Times New Roman" w:eastAsia="Times New Roman" w:hAnsi="Times New Roman" w:cs="Times New Roman"/>
          <w:noProof/>
          <w:sz w:val="24"/>
          <w:szCs w:val="24"/>
          <w:lang w:val="en-GB" w:eastAsia="en-GB"/>
        </w:rPr>
      </w:pPr>
      <w:r w:rsidRPr="00E50CE1">
        <w:rPr>
          <w:rFonts w:ascii="Times New Roman" w:eastAsia="Times New Roman" w:hAnsi="Times New Roman" w:cs="Times New Roman"/>
          <w:noProof/>
          <w:sz w:val="24"/>
          <w:szCs w:val="24"/>
          <w:lang w:val="en-GB" w:eastAsia="en-GB"/>
        </w:rPr>
        <w:t xml:space="preserve">24. </w:t>
      </w:r>
      <w:r w:rsidRPr="00E50CE1">
        <w:rPr>
          <w:rFonts w:ascii="Times New Roman" w:eastAsia="Times New Roman" w:hAnsi="Times New Roman" w:cs="Times New Roman"/>
          <w:noProof/>
          <w:sz w:val="24"/>
          <w:szCs w:val="24"/>
          <w:lang w:val="en-GB" w:eastAsia="en-GB"/>
        </w:rPr>
        <w:tab/>
        <w:t xml:space="preserve">Safaee M, Oh MC, Bloch O, Sun MZ, Kaur G, Auguste KI, et al. Choroid plexus papillomas: advances in molecular biology and understanding of tumourigenesis. Neuro Oncol. 2013;15:255–67. </w:t>
      </w:r>
    </w:p>
    <w:p w:rsidR="00433B6E" w:rsidRPr="00E50CE1" w:rsidRDefault="00433B6E" w:rsidP="00433B6E">
      <w:pPr>
        <w:widowControl w:val="0"/>
        <w:autoSpaceDE w:val="0"/>
        <w:autoSpaceDN w:val="0"/>
        <w:adjustRightInd w:val="0"/>
        <w:spacing w:line="480" w:lineRule="auto"/>
        <w:ind w:left="640" w:hanging="640"/>
        <w:rPr>
          <w:rFonts w:ascii="Times New Roman" w:eastAsia="Times New Roman" w:hAnsi="Times New Roman" w:cs="Times New Roman"/>
          <w:noProof/>
          <w:sz w:val="24"/>
          <w:szCs w:val="24"/>
          <w:lang w:val="en-GB" w:eastAsia="en-GB"/>
        </w:rPr>
      </w:pPr>
      <w:r w:rsidRPr="00E50CE1">
        <w:rPr>
          <w:rFonts w:ascii="Times New Roman" w:eastAsia="Times New Roman" w:hAnsi="Times New Roman" w:cs="Times New Roman"/>
          <w:noProof/>
          <w:sz w:val="24"/>
          <w:szCs w:val="24"/>
          <w:lang w:val="en-GB" w:eastAsia="en-GB"/>
        </w:rPr>
        <w:t xml:space="preserve">25. </w:t>
      </w:r>
      <w:r w:rsidRPr="00E50CE1">
        <w:rPr>
          <w:rFonts w:ascii="Times New Roman" w:eastAsia="Times New Roman" w:hAnsi="Times New Roman" w:cs="Times New Roman"/>
          <w:noProof/>
          <w:sz w:val="24"/>
          <w:szCs w:val="24"/>
          <w:lang w:val="en-GB" w:eastAsia="en-GB"/>
        </w:rPr>
        <w:tab/>
        <w:t xml:space="preserve">Shibahara J, Todo T, Morita A, Mori H, Aoki S, Fukayama M. Papillary neuroepithelial tumour of the pineal region. A case report. Acta Neuropathol. 2004;108:337–40. </w:t>
      </w:r>
    </w:p>
    <w:p w:rsidR="00433B6E" w:rsidRPr="00E50CE1" w:rsidRDefault="00433B6E" w:rsidP="00433B6E">
      <w:pPr>
        <w:widowControl w:val="0"/>
        <w:autoSpaceDE w:val="0"/>
        <w:autoSpaceDN w:val="0"/>
        <w:adjustRightInd w:val="0"/>
        <w:spacing w:line="480" w:lineRule="auto"/>
        <w:ind w:left="640" w:hanging="640"/>
        <w:rPr>
          <w:rFonts w:ascii="Times New Roman" w:eastAsia="Times New Roman" w:hAnsi="Times New Roman" w:cs="Times New Roman"/>
          <w:noProof/>
          <w:sz w:val="24"/>
          <w:szCs w:val="24"/>
          <w:lang w:val="en-GB" w:eastAsia="en-GB"/>
        </w:rPr>
      </w:pPr>
      <w:r w:rsidRPr="00E50CE1">
        <w:rPr>
          <w:rFonts w:ascii="Times New Roman" w:eastAsia="Times New Roman" w:hAnsi="Times New Roman" w:cs="Times New Roman"/>
          <w:noProof/>
          <w:sz w:val="24"/>
          <w:szCs w:val="24"/>
          <w:lang w:val="en-GB" w:eastAsia="en-GB"/>
        </w:rPr>
        <w:t xml:space="preserve">26. </w:t>
      </w:r>
      <w:r w:rsidRPr="00E50CE1">
        <w:rPr>
          <w:rFonts w:ascii="Times New Roman" w:eastAsia="Times New Roman" w:hAnsi="Times New Roman" w:cs="Times New Roman"/>
          <w:noProof/>
          <w:sz w:val="24"/>
          <w:szCs w:val="24"/>
          <w:lang w:val="en-GB" w:eastAsia="en-GB"/>
        </w:rPr>
        <w:tab/>
        <w:t xml:space="preserve">Jouvet A, Fauchon F, Liberski P, Saint-Pierre G, Didier-Bazes M, Heitzmann A, et al. Papillary tumour of the pineal region. Am J Surg Pathol. 2003;27:505–12. </w:t>
      </w:r>
    </w:p>
    <w:p w:rsidR="00433B6E" w:rsidRPr="00E50CE1" w:rsidRDefault="00433B6E" w:rsidP="00433B6E">
      <w:pPr>
        <w:widowControl w:val="0"/>
        <w:autoSpaceDE w:val="0"/>
        <w:autoSpaceDN w:val="0"/>
        <w:adjustRightInd w:val="0"/>
        <w:spacing w:line="480" w:lineRule="auto"/>
        <w:ind w:left="640" w:hanging="640"/>
        <w:rPr>
          <w:rFonts w:ascii="Times New Roman" w:eastAsia="Times New Roman" w:hAnsi="Times New Roman" w:cs="Times New Roman"/>
          <w:noProof/>
          <w:sz w:val="24"/>
          <w:szCs w:val="24"/>
          <w:lang w:val="en-GB" w:eastAsia="en-GB"/>
        </w:rPr>
      </w:pPr>
      <w:r w:rsidRPr="00E50CE1">
        <w:rPr>
          <w:rFonts w:ascii="Times New Roman" w:eastAsia="Times New Roman" w:hAnsi="Times New Roman" w:cs="Times New Roman"/>
          <w:noProof/>
          <w:sz w:val="24"/>
          <w:szCs w:val="24"/>
          <w:lang w:val="en-GB" w:eastAsia="en-GB"/>
        </w:rPr>
        <w:t xml:space="preserve">27. </w:t>
      </w:r>
      <w:r w:rsidRPr="00E50CE1">
        <w:rPr>
          <w:rFonts w:ascii="Times New Roman" w:eastAsia="Times New Roman" w:hAnsi="Times New Roman" w:cs="Times New Roman"/>
          <w:noProof/>
          <w:sz w:val="24"/>
          <w:szCs w:val="24"/>
          <w:lang w:val="en-GB" w:eastAsia="en-GB"/>
        </w:rPr>
        <w:tab/>
        <w:t xml:space="preserve">Hasselblatt M, Blumcke I, Jeibmann A, Rickert CH, Jouvet A, van de Nes JAP, et al. Immunohistochemical profile and chromosomal imbalances in papillary tumours of the pineal region. Neuropathol Appl Neurobiol. 2006;32:278–83. </w:t>
      </w:r>
    </w:p>
    <w:p w:rsidR="00433B6E" w:rsidRPr="00E50CE1" w:rsidRDefault="00433B6E" w:rsidP="00433B6E">
      <w:pPr>
        <w:widowControl w:val="0"/>
        <w:autoSpaceDE w:val="0"/>
        <w:autoSpaceDN w:val="0"/>
        <w:adjustRightInd w:val="0"/>
        <w:spacing w:line="480" w:lineRule="auto"/>
        <w:ind w:left="640" w:hanging="640"/>
        <w:rPr>
          <w:rFonts w:ascii="Times New Roman" w:eastAsia="Times New Roman" w:hAnsi="Times New Roman" w:cs="Times New Roman"/>
          <w:noProof/>
          <w:sz w:val="24"/>
          <w:szCs w:val="24"/>
          <w:lang w:val="en-GB" w:eastAsia="en-GB"/>
        </w:rPr>
      </w:pPr>
      <w:r w:rsidRPr="00E50CE1">
        <w:rPr>
          <w:rFonts w:ascii="Times New Roman" w:eastAsia="Times New Roman" w:hAnsi="Times New Roman" w:cs="Times New Roman"/>
          <w:noProof/>
          <w:sz w:val="24"/>
          <w:szCs w:val="24"/>
          <w:lang w:val="en-GB" w:eastAsia="en-GB"/>
        </w:rPr>
        <w:t xml:space="preserve">28. </w:t>
      </w:r>
      <w:r w:rsidRPr="00E50CE1">
        <w:rPr>
          <w:rFonts w:ascii="Times New Roman" w:eastAsia="Times New Roman" w:hAnsi="Times New Roman" w:cs="Times New Roman"/>
          <w:noProof/>
          <w:sz w:val="24"/>
          <w:szCs w:val="24"/>
          <w:lang w:val="en-GB" w:eastAsia="en-GB"/>
        </w:rPr>
        <w:tab/>
        <w:t xml:space="preserve">Passariello A, Tufano M, Spennato P, Quaglietta L, Verrico A, Migliorati R, et al. The role of chemotherapy and surgical removal in the treatment of Choroid Plexus </w:t>
      </w:r>
      <w:r w:rsidRPr="00E50CE1">
        <w:rPr>
          <w:rFonts w:ascii="Times New Roman" w:eastAsia="Times New Roman" w:hAnsi="Times New Roman" w:cs="Times New Roman"/>
          <w:noProof/>
          <w:sz w:val="24"/>
          <w:szCs w:val="24"/>
          <w:lang w:val="en-GB" w:eastAsia="en-GB"/>
        </w:rPr>
        <w:lastRenderedPageBreak/>
        <w:t xml:space="preserve">carcinomas and atypical papillomas. Child’s Nerv Syst. 2015;31:1079–88. </w:t>
      </w:r>
    </w:p>
    <w:p w:rsidR="00433B6E" w:rsidRPr="00E50CE1" w:rsidRDefault="00433B6E" w:rsidP="00433B6E">
      <w:pPr>
        <w:widowControl w:val="0"/>
        <w:autoSpaceDE w:val="0"/>
        <w:autoSpaceDN w:val="0"/>
        <w:adjustRightInd w:val="0"/>
        <w:spacing w:line="480" w:lineRule="auto"/>
        <w:ind w:left="640" w:hanging="640"/>
        <w:rPr>
          <w:rFonts w:ascii="Times New Roman" w:eastAsia="Times New Roman" w:hAnsi="Times New Roman" w:cs="Times New Roman"/>
          <w:noProof/>
          <w:sz w:val="24"/>
          <w:szCs w:val="24"/>
          <w:lang w:val="en-GB" w:eastAsia="en-GB"/>
        </w:rPr>
      </w:pPr>
      <w:r w:rsidRPr="00E50CE1">
        <w:rPr>
          <w:rFonts w:ascii="Times New Roman" w:eastAsia="Times New Roman" w:hAnsi="Times New Roman" w:cs="Times New Roman"/>
          <w:noProof/>
          <w:sz w:val="24"/>
          <w:szCs w:val="24"/>
          <w:lang w:val="en-GB" w:eastAsia="en-GB"/>
        </w:rPr>
        <w:t xml:space="preserve">29. </w:t>
      </w:r>
      <w:r w:rsidRPr="00E50CE1">
        <w:rPr>
          <w:rFonts w:ascii="Times New Roman" w:eastAsia="Times New Roman" w:hAnsi="Times New Roman" w:cs="Times New Roman"/>
          <w:noProof/>
          <w:sz w:val="24"/>
          <w:szCs w:val="24"/>
          <w:lang w:val="en-GB" w:eastAsia="en-GB"/>
        </w:rPr>
        <w:tab/>
        <w:t xml:space="preserve">Wrede B, Hasselblatt M, Peters O, Thall PF, Kutluk T, Moghrabi A, et al. Atypical choroid plexus papilloma: clinical experience in the CPT-SIOP-2000 study. J Neurooncol. 2009;95:383–92. </w:t>
      </w:r>
    </w:p>
    <w:p w:rsidR="00433B6E" w:rsidRPr="00E50CE1" w:rsidRDefault="00433B6E" w:rsidP="00433B6E">
      <w:pPr>
        <w:widowControl w:val="0"/>
        <w:autoSpaceDE w:val="0"/>
        <w:autoSpaceDN w:val="0"/>
        <w:adjustRightInd w:val="0"/>
        <w:spacing w:line="480" w:lineRule="auto"/>
        <w:ind w:left="640" w:hanging="640"/>
        <w:rPr>
          <w:rFonts w:ascii="Times New Roman" w:eastAsia="Times New Roman" w:hAnsi="Times New Roman" w:cs="Times New Roman"/>
          <w:noProof/>
          <w:sz w:val="24"/>
          <w:szCs w:val="24"/>
          <w:lang w:val="en-GB" w:eastAsia="en-GB"/>
        </w:rPr>
      </w:pPr>
      <w:r w:rsidRPr="00E50CE1">
        <w:rPr>
          <w:rFonts w:ascii="Times New Roman" w:eastAsia="Times New Roman" w:hAnsi="Times New Roman" w:cs="Times New Roman"/>
          <w:noProof/>
          <w:sz w:val="24"/>
          <w:szCs w:val="24"/>
          <w:lang w:val="en-GB" w:eastAsia="en-GB"/>
        </w:rPr>
        <w:t xml:space="preserve">30. </w:t>
      </w:r>
      <w:r w:rsidRPr="00E50CE1">
        <w:rPr>
          <w:rFonts w:ascii="Times New Roman" w:eastAsia="Times New Roman" w:hAnsi="Times New Roman" w:cs="Times New Roman"/>
          <w:noProof/>
          <w:sz w:val="24"/>
          <w:szCs w:val="24"/>
          <w:lang w:val="en-GB" w:eastAsia="en-GB"/>
        </w:rPr>
        <w:tab/>
        <w:t xml:space="preserve">Pencalet P, Sainte-Rose C, Lellouch-Tubiana A, Kalifa C, Brunelle F, Sgouros S, et al. Papillomas and carcinomas of the choroid plexus in children. J Neurosurg. 1998;88:521–8. </w:t>
      </w:r>
    </w:p>
    <w:p w:rsidR="00433B6E" w:rsidRPr="00E50CE1" w:rsidRDefault="00433B6E" w:rsidP="00433B6E">
      <w:pPr>
        <w:widowControl w:val="0"/>
        <w:autoSpaceDE w:val="0"/>
        <w:autoSpaceDN w:val="0"/>
        <w:adjustRightInd w:val="0"/>
        <w:spacing w:line="480" w:lineRule="auto"/>
        <w:ind w:left="640" w:hanging="640"/>
        <w:rPr>
          <w:rFonts w:ascii="Times New Roman" w:eastAsia="Times New Roman" w:hAnsi="Times New Roman" w:cs="Times New Roman"/>
          <w:noProof/>
          <w:sz w:val="24"/>
          <w:szCs w:val="24"/>
          <w:lang w:val="en-GB" w:eastAsia="en-GB"/>
        </w:rPr>
      </w:pPr>
      <w:r w:rsidRPr="00E50CE1">
        <w:rPr>
          <w:rFonts w:ascii="Times New Roman" w:eastAsia="Times New Roman" w:hAnsi="Times New Roman" w:cs="Times New Roman"/>
          <w:noProof/>
          <w:sz w:val="24"/>
          <w:szCs w:val="24"/>
          <w:lang w:val="en-GB" w:eastAsia="en-GB"/>
        </w:rPr>
        <w:t xml:space="preserve">31. </w:t>
      </w:r>
      <w:r w:rsidRPr="00E50CE1">
        <w:rPr>
          <w:rFonts w:ascii="Times New Roman" w:eastAsia="Times New Roman" w:hAnsi="Times New Roman" w:cs="Times New Roman"/>
          <w:noProof/>
          <w:sz w:val="24"/>
          <w:szCs w:val="24"/>
          <w:lang w:val="en-GB" w:eastAsia="en-GB"/>
        </w:rPr>
        <w:tab/>
        <w:t xml:space="preserve">Ellenbogen RG, Winston KR, Kupsky WJ. Tumours of the choroid plexus in children. Neurosurgery. 1989;25:327–35. </w:t>
      </w:r>
    </w:p>
    <w:p w:rsidR="00433B6E" w:rsidRPr="00E50CE1" w:rsidRDefault="00433B6E" w:rsidP="00433B6E">
      <w:pPr>
        <w:widowControl w:val="0"/>
        <w:autoSpaceDE w:val="0"/>
        <w:autoSpaceDN w:val="0"/>
        <w:adjustRightInd w:val="0"/>
        <w:spacing w:line="480" w:lineRule="auto"/>
        <w:ind w:left="640" w:hanging="640"/>
        <w:rPr>
          <w:rFonts w:ascii="Times New Roman" w:eastAsia="Times New Roman" w:hAnsi="Times New Roman" w:cs="Times New Roman"/>
          <w:noProof/>
          <w:sz w:val="24"/>
          <w:szCs w:val="24"/>
          <w:lang w:val="en-GB" w:eastAsia="en-GB"/>
        </w:rPr>
      </w:pPr>
      <w:r w:rsidRPr="00E50CE1">
        <w:rPr>
          <w:rFonts w:ascii="Times New Roman" w:eastAsia="Times New Roman" w:hAnsi="Times New Roman" w:cs="Times New Roman"/>
          <w:noProof/>
          <w:sz w:val="24"/>
          <w:szCs w:val="24"/>
          <w:lang w:val="en-GB" w:eastAsia="en-GB"/>
        </w:rPr>
        <w:t xml:space="preserve">32. </w:t>
      </w:r>
      <w:r w:rsidRPr="00E50CE1">
        <w:rPr>
          <w:rFonts w:ascii="Times New Roman" w:eastAsia="Times New Roman" w:hAnsi="Times New Roman" w:cs="Times New Roman"/>
          <w:noProof/>
          <w:sz w:val="24"/>
          <w:szCs w:val="24"/>
          <w:lang w:val="en-GB" w:eastAsia="en-GB"/>
        </w:rPr>
        <w:tab/>
        <w:t xml:space="preserve">Pandey S, Sharma V, Singh K, Ghosh A, Gupta PK. Uncommon presentation of choroid plexus papilloma in an infant. J Pediatr Neurosci. 2016;11:61–3. </w:t>
      </w:r>
    </w:p>
    <w:p w:rsidR="00433B6E" w:rsidRPr="00E50CE1" w:rsidRDefault="00433B6E" w:rsidP="00433B6E">
      <w:pPr>
        <w:widowControl w:val="0"/>
        <w:spacing w:after="200" w:line="480" w:lineRule="auto"/>
        <w:rPr>
          <w:rFonts w:ascii="Times New Roman" w:eastAsia="Times New Roman" w:hAnsi="Times New Roman" w:cs="Times New Roman"/>
          <w:b/>
          <w:bCs/>
          <w:sz w:val="24"/>
          <w:szCs w:val="24"/>
          <w:lang w:val="en-GB" w:eastAsia="en-GB"/>
        </w:rPr>
      </w:pPr>
      <w:r w:rsidRPr="00E50CE1">
        <w:rPr>
          <w:rFonts w:ascii="Times New Roman" w:eastAsia="Times New Roman" w:hAnsi="Times New Roman" w:cs="Times New Roman"/>
          <w:b/>
          <w:bCs/>
          <w:sz w:val="24"/>
          <w:szCs w:val="24"/>
          <w:lang w:val="en-GB" w:eastAsia="en-GB"/>
        </w:rPr>
        <w:fldChar w:fldCharType="end"/>
      </w:r>
    </w:p>
    <w:p w:rsidR="00433B6E" w:rsidRDefault="00433B6E" w:rsidP="00433B6E">
      <w:pPr>
        <w:spacing w:after="200" w:line="480" w:lineRule="auto"/>
        <w:jc w:val="both"/>
        <w:rPr>
          <w:rFonts w:ascii="Times New Roman" w:eastAsia="Times New Roman" w:hAnsi="Times New Roman" w:cs="Times New Roman"/>
          <w:b/>
          <w:bCs/>
          <w:sz w:val="24"/>
          <w:szCs w:val="24"/>
          <w:lang w:val="en-GB" w:eastAsia="en-GB"/>
        </w:rPr>
      </w:pPr>
    </w:p>
    <w:p w:rsidR="00433B6E" w:rsidRDefault="00433B6E" w:rsidP="00433B6E">
      <w:pPr>
        <w:spacing w:after="200" w:line="480" w:lineRule="auto"/>
        <w:jc w:val="both"/>
        <w:rPr>
          <w:rFonts w:ascii="Times New Roman" w:eastAsia="Times New Roman" w:hAnsi="Times New Roman" w:cs="Times New Roman"/>
          <w:b/>
          <w:bCs/>
          <w:sz w:val="24"/>
          <w:szCs w:val="24"/>
          <w:lang w:val="en-GB" w:eastAsia="en-GB"/>
        </w:rPr>
      </w:pPr>
    </w:p>
    <w:p w:rsidR="00433B6E" w:rsidRDefault="00433B6E" w:rsidP="00433B6E">
      <w:pPr>
        <w:spacing w:after="200" w:line="480" w:lineRule="auto"/>
        <w:jc w:val="both"/>
        <w:rPr>
          <w:rFonts w:ascii="Times New Roman" w:eastAsia="Times New Roman" w:hAnsi="Times New Roman" w:cs="Times New Roman"/>
          <w:b/>
          <w:bCs/>
          <w:sz w:val="24"/>
          <w:szCs w:val="24"/>
          <w:lang w:val="en-GB" w:eastAsia="en-GB"/>
        </w:rPr>
      </w:pPr>
    </w:p>
    <w:p w:rsidR="00433B6E" w:rsidRDefault="00433B6E" w:rsidP="00433B6E">
      <w:pPr>
        <w:spacing w:after="200" w:line="480" w:lineRule="auto"/>
        <w:jc w:val="both"/>
        <w:rPr>
          <w:rFonts w:ascii="Times New Roman" w:eastAsia="Times New Roman" w:hAnsi="Times New Roman" w:cs="Times New Roman"/>
          <w:b/>
          <w:bCs/>
          <w:sz w:val="24"/>
          <w:szCs w:val="24"/>
          <w:lang w:val="en-GB" w:eastAsia="en-GB"/>
        </w:rPr>
      </w:pPr>
    </w:p>
    <w:p w:rsidR="00433B6E" w:rsidRDefault="00433B6E" w:rsidP="00433B6E">
      <w:pPr>
        <w:spacing w:after="200" w:line="480" w:lineRule="auto"/>
        <w:jc w:val="both"/>
        <w:rPr>
          <w:rFonts w:ascii="Times New Roman" w:eastAsia="Times New Roman" w:hAnsi="Times New Roman" w:cs="Times New Roman"/>
          <w:b/>
          <w:bCs/>
          <w:sz w:val="24"/>
          <w:szCs w:val="24"/>
          <w:lang w:val="en-GB" w:eastAsia="en-GB"/>
        </w:rPr>
      </w:pPr>
    </w:p>
    <w:p w:rsidR="00433B6E" w:rsidRDefault="00433B6E" w:rsidP="00433B6E">
      <w:pPr>
        <w:spacing w:after="200" w:line="480" w:lineRule="auto"/>
        <w:jc w:val="both"/>
        <w:rPr>
          <w:rFonts w:ascii="Times New Roman" w:eastAsia="Times New Roman" w:hAnsi="Times New Roman" w:cs="Times New Roman"/>
          <w:b/>
          <w:bCs/>
          <w:sz w:val="24"/>
          <w:szCs w:val="24"/>
          <w:lang w:val="en-GB" w:eastAsia="en-GB"/>
        </w:rPr>
      </w:pPr>
    </w:p>
    <w:p w:rsidR="00433B6E" w:rsidRDefault="00433B6E" w:rsidP="00433B6E">
      <w:pPr>
        <w:spacing w:after="200" w:line="480" w:lineRule="auto"/>
        <w:jc w:val="both"/>
        <w:rPr>
          <w:rFonts w:ascii="Times New Roman" w:eastAsia="Times New Roman" w:hAnsi="Times New Roman" w:cs="Times New Roman"/>
          <w:b/>
          <w:bCs/>
          <w:sz w:val="24"/>
          <w:szCs w:val="24"/>
          <w:lang w:val="en-GB" w:eastAsia="en-GB"/>
        </w:rPr>
      </w:pPr>
    </w:p>
    <w:p w:rsidR="00433B6E" w:rsidRDefault="00433B6E" w:rsidP="00433B6E">
      <w:pPr>
        <w:spacing w:after="200" w:line="480" w:lineRule="auto"/>
        <w:jc w:val="both"/>
        <w:rPr>
          <w:rFonts w:ascii="Times New Roman" w:eastAsia="Times New Roman" w:hAnsi="Times New Roman" w:cs="Times New Roman"/>
          <w:b/>
          <w:bCs/>
          <w:sz w:val="24"/>
          <w:szCs w:val="24"/>
          <w:lang w:val="en-GB" w:eastAsia="en-GB"/>
        </w:rPr>
      </w:pPr>
    </w:p>
    <w:p w:rsidR="00433B6E" w:rsidRDefault="00433B6E" w:rsidP="00433B6E">
      <w:pPr>
        <w:spacing w:after="200" w:line="480" w:lineRule="auto"/>
        <w:jc w:val="both"/>
        <w:rPr>
          <w:rFonts w:ascii="Times New Roman" w:eastAsia="Times New Roman" w:hAnsi="Times New Roman" w:cs="Times New Roman"/>
          <w:b/>
          <w:bCs/>
          <w:sz w:val="24"/>
          <w:szCs w:val="24"/>
          <w:lang w:val="en-GB" w:eastAsia="en-GB"/>
        </w:rPr>
      </w:pPr>
    </w:p>
    <w:p w:rsidR="00433B6E" w:rsidRDefault="00433B6E" w:rsidP="00433B6E">
      <w:pPr>
        <w:spacing w:after="200" w:line="480" w:lineRule="auto"/>
        <w:jc w:val="both"/>
        <w:rPr>
          <w:rFonts w:ascii="Times New Roman" w:eastAsia="Times New Roman" w:hAnsi="Times New Roman" w:cs="Times New Roman"/>
          <w:b/>
          <w:bCs/>
          <w:sz w:val="24"/>
          <w:szCs w:val="24"/>
          <w:lang w:val="en-GB" w:eastAsia="en-GB"/>
        </w:rPr>
      </w:pPr>
    </w:p>
    <w:p w:rsidR="00433B6E" w:rsidRDefault="00433B6E" w:rsidP="00433B6E">
      <w:pPr>
        <w:spacing w:after="200" w:line="480" w:lineRule="auto"/>
        <w:jc w:val="both"/>
        <w:rPr>
          <w:rFonts w:ascii="Times New Roman" w:eastAsia="Times New Roman" w:hAnsi="Times New Roman" w:cs="Times New Roman"/>
          <w:b/>
          <w:bCs/>
          <w:sz w:val="24"/>
          <w:szCs w:val="24"/>
          <w:lang w:val="en-GB" w:eastAsia="en-GB"/>
        </w:rPr>
      </w:pPr>
    </w:p>
    <w:p w:rsidR="00433B6E" w:rsidRPr="00E50CE1" w:rsidRDefault="00433B6E" w:rsidP="00433B6E">
      <w:pPr>
        <w:spacing w:after="200" w:line="480" w:lineRule="auto"/>
        <w:jc w:val="both"/>
        <w:rPr>
          <w:rFonts w:ascii="Times New Roman" w:eastAsia="Times New Roman" w:hAnsi="Times New Roman" w:cs="Times New Roman"/>
          <w:b/>
          <w:bCs/>
          <w:sz w:val="24"/>
          <w:szCs w:val="24"/>
          <w:lang w:val="en-GB" w:eastAsia="en-GB"/>
        </w:rPr>
      </w:pPr>
    </w:p>
    <w:p w:rsidR="00433B6E" w:rsidRPr="00E50CE1" w:rsidRDefault="00433B6E" w:rsidP="00433B6E">
      <w:pPr>
        <w:spacing w:after="200" w:line="480" w:lineRule="auto"/>
        <w:jc w:val="both"/>
        <w:rPr>
          <w:rFonts w:ascii="Times New Roman" w:eastAsia="Times New Roman" w:hAnsi="Times New Roman" w:cs="Times New Roman"/>
          <w:b/>
          <w:bCs/>
          <w:sz w:val="24"/>
          <w:szCs w:val="24"/>
          <w:lang w:val="en-GB" w:eastAsia="en-GB"/>
        </w:rPr>
      </w:pPr>
      <w:r w:rsidRPr="00E50CE1">
        <w:rPr>
          <w:rFonts w:ascii="Times New Roman" w:eastAsia="Times New Roman" w:hAnsi="Times New Roman" w:cs="Times New Roman"/>
          <w:b/>
          <w:bCs/>
          <w:sz w:val="24"/>
          <w:szCs w:val="24"/>
          <w:lang w:val="en-GB" w:eastAsia="en-GB"/>
        </w:rPr>
        <w:t>APPENDIX</w:t>
      </w:r>
    </w:p>
    <w:p w:rsidR="00433B6E" w:rsidRPr="00E50CE1" w:rsidRDefault="00433B6E" w:rsidP="00433B6E">
      <w:pPr>
        <w:spacing w:after="200" w:line="480" w:lineRule="auto"/>
        <w:jc w:val="both"/>
        <w:rPr>
          <w:rFonts w:ascii="Times New Roman" w:eastAsia="Times New Roman" w:hAnsi="Times New Roman" w:cs="Times New Roman"/>
          <w:b/>
          <w:bCs/>
          <w:sz w:val="24"/>
          <w:szCs w:val="24"/>
          <w:lang w:val="en-GB" w:eastAsia="en-GB"/>
        </w:rPr>
      </w:pPr>
      <w:r w:rsidRPr="00E50CE1">
        <w:rPr>
          <w:rFonts w:ascii="Calibri" w:eastAsia="Times New Roman" w:hAnsi="Calibri" w:cs="Times New Roman"/>
          <w:noProof/>
          <w:lang w:val="en-GB" w:eastAsia="en-GB"/>
        </w:rPr>
        <mc:AlternateContent>
          <mc:Choice Requires="wps">
            <w:drawing>
              <wp:anchor distT="0" distB="0" distL="0" distR="0" simplePos="0" relativeHeight="251676672" behindDoc="0" locked="0" layoutInCell="1" allowOverlap="1" wp14:anchorId="47662F31" wp14:editId="362D5773">
                <wp:simplePos x="0" y="0"/>
                <wp:positionH relativeFrom="column">
                  <wp:posOffset>4235450</wp:posOffset>
                </wp:positionH>
                <wp:positionV relativeFrom="line">
                  <wp:posOffset>906780</wp:posOffset>
                </wp:positionV>
                <wp:extent cx="184150" cy="95250"/>
                <wp:effectExtent l="0" t="0" r="0" b="0"/>
                <wp:wrapNone/>
                <wp:docPr id="1073741825" name="officeArt object" descr="Arrow: Right 24"/>
                <wp:cNvGraphicFramePr/>
                <a:graphic xmlns:a="http://schemas.openxmlformats.org/drawingml/2006/main">
                  <a:graphicData uri="http://schemas.microsoft.com/office/word/2010/wordprocessingShape">
                    <wps:wsp>
                      <wps:cNvSpPr/>
                      <wps:spPr>
                        <a:xfrm>
                          <a:off x="0" y="0"/>
                          <a:ext cx="184150" cy="95250"/>
                        </a:xfrm>
                        <a:prstGeom prst="rightArrow">
                          <a:avLst>
                            <a:gd name="adj1" fmla="val 50000"/>
                            <a:gd name="adj2" fmla="val 50000"/>
                          </a:avLst>
                        </a:prstGeom>
                        <a:solidFill>
                          <a:srgbClr val="FF0000"/>
                        </a:solidFill>
                        <a:ln w="12700" cap="flat">
                          <a:solidFill>
                            <a:srgbClr val="32538F"/>
                          </a:solidFill>
                          <a:prstDash val="solid"/>
                          <a:miter lim="800000"/>
                        </a:ln>
                        <a:effectLst/>
                      </wps:spPr>
                      <wps:bodyPr/>
                    </wps:wsp>
                  </a:graphicData>
                </a:graphic>
              </wp:anchor>
            </w:drawing>
          </mc:Choice>
          <mc:Fallback>
            <w:pict>
              <v:shapetype w14:anchorId="102E20B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fficeArt object" o:spid="_x0000_s1026" type="#_x0000_t13" alt="Arrow: Right 24" style="position:absolute;margin-left:333.5pt;margin-top:71.4pt;width:14.5pt;height:7.5pt;z-index:251676672;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" adj="16014" fillcolor="red" strokecolor="#32538f" strokeweight="1pt">
                <w10:wrap anchory="line"/>
              </v:shape>
            </w:pict>
          </mc:Fallback>
        </mc:AlternateContent>
      </w:r>
      <w:r w:rsidRPr="00E50CE1">
        <w:rPr>
          <w:rFonts w:ascii="Calibri" w:eastAsia="Times New Roman" w:hAnsi="Calibri" w:cs="Times New Roman"/>
          <w:noProof/>
          <w:lang w:val="en-GB" w:eastAsia="en-GB"/>
        </w:rPr>
        <mc:AlternateContent>
          <mc:Choice Requires="wps">
            <w:drawing>
              <wp:anchor distT="0" distB="0" distL="0" distR="0" simplePos="0" relativeHeight="251675648" behindDoc="0" locked="0" layoutInCell="1" allowOverlap="1" wp14:anchorId="048098CB" wp14:editId="54725832">
                <wp:simplePos x="0" y="0"/>
                <wp:positionH relativeFrom="column">
                  <wp:posOffset>5416550</wp:posOffset>
                </wp:positionH>
                <wp:positionV relativeFrom="line">
                  <wp:posOffset>1827530</wp:posOffset>
                </wp:positionV>
                <wp:extent cx="254000" cy="253365"/>
                <wp:effectExtent l="0" t="0" r="0" b="0"/>
                <wp:wrapNone/>
                <wp:docPr id="1073741826" name="officeArt object" descr="Text Box 36"/>
                <wp:cNvGraphicFramePr/>
                <a:graphic xmlns:a="http://schemas.openxmlformats.org/drawingml/2006/main">
                  <a:graphicData uri="http://schemas.microsoft.com/office/word/2010/wordprocessingShape">
                    <wps:wsp>
                      <wps:cNvSpPr txBox="1"/>
                      <wps:spPr>
                        <a:xfrm>
                          <a:off x="0" y="0"/>
                          <a:ext cx="254000" cy="253365"/>
                        </a:xfrm>
                        <a:prstGeom prst="rect">
                          <a:avLst/>
                        </a:prstGeom>
                        <a:solidFill>
                          <a:srgbClr val="FFFFFF"/>
                        </a:solidFill>
                        <a:ln w="6350" cap="flat">
                          <a:solidFill>
                            <a:srgbClr val="000000"/>
                          </a:solidFill>
                          <a:prstDash val="solid"/>
                          <a:round/>
                        </a:ln>
                        <a:effectLst/>
                      </wps:spPr>
                      <wps:txbx>
                        <w:txbxContent>
                          <w:p w:rsidR="00433B6E" w:rsidRDefault="00433B6E" w:rsidP="00433B6E">
                            <w:proofErr w:type="gramStart"/>
                            <w:r>
                              <w:t>c</w:t>
                            </w:r>
                            <w:proofErr w:type="gramEnd"/>
                          </w:p>
                        </w:txbxContent>
                      </wps:txbx>
                      <wps:bodyPr wrap="square" lIns="45719" tIns="45719" rIns="45719" bIns="45719" numCol="1" anchor="t">
                        <a:noAutofit/>
                      </wps:bodyPr>
                    </wps:wsp>
                  </a:graphicData>
                </a:graphic>
              </wp:anchor>
            </w:drawing>
          </mc:Choice>
          <mc:Fallback>
            <w:pict>
              <v:shapetype w14:anchorId="048098CB" id="_x0000_t202" coordsize="21600,21600" o:spt="202" path="m,l,21600r21600,l21600,xe">
                <v:stroke joinstyle="miter"/>
                <v:path gradientshapeok="t" o:connecttype="rect"/>
              </v:shapetype>
              <v:shape id="officeArt object" o:spid="_x0000_s1026" type="#_x0000_t202" alt="Text Box 36" style="position:absolute;left:0;text-align:left;margin-left:426.5pt;margin-top:143.9pt;width:20pt;height:19.95pt;z-index:251675648;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" strokeweight=".5pt">
                <v:stroke joinstyle="round"/>
                <v:textbox inset="1.27mm,1.27mm,1.27mm,1.27mm">
                  <w:txbxContent>
                    <w:p w:rsidR="00433B6E" w:rsidRDefault="00433B6E" w:rsidP="00433B6E">
                      <w:proofErr w:type="gramStart"/>
                      <w:r>
                        <w:t>c</w:t>
                      </w:r>
                      <w:proofErr w:type="gramEnd"/>
                    </w:p>
                  </w:txbxContent>
                </v:textbox>
                <w10:wrap anchory="line"/>
              </v:shape>
            </w:pict>
          </mc:Fallback>
        </mc:AlternateContent>
      </w:r>
      <w:r w:rsidRPr="00E50CE1">
        <w:rPr>
          <w:rFonts w:ascii="Calibri" w:eastAsia="Times New Roman" w:hAnsi="Calibri" w:cs="Times New Roman"/>
          <w:noProof/>
          <w:lang w:val="en-GB" w:eastAsia="en-GB"/>
        </w:rPr>
        <mc:AlternateContent>
          <mc:Choice Requires="wps">
            <w:drawing>
              <wp:anchor distT="0" distB="0" distL="0" distR="0" simplePos="0" relativeHeight="251674624" behindDoc="0" locked="0" layoutInCell="1" allowOverlap="1" wp14:anchorId="41AE55B3" wp14:editId="581A7E35">
                <wp:simplePos x="0" y="0"/>
                <wp:positionH relativeFrom="column">
                  <wp:posOffset>2400300</wp:posOffset>
                </wp:positionH>
                <wp:positionV relativeFrom="line">
                  <wp:posOffset>817880</wp:posOffset>
                </wp:positionV>
                <wp:extent cx="184150" cy="95250"/>
                <wp:effectExtent l="0" t="0" r="0" b="0"/>
                <wp:wrapNone/>
                <wp:docPr id="1073741827" name="officeArt object" descr="Arrow: Right 23"/>
                <wp:cNvGraphicFramePr/>
                <a:graphic xmlns:a="http://schemas.openxmlformats.org/drawingml/2006/main">
                  <a:graphicData uri="http://schemas.microsoft.com/office/word/2010/wordprocessingShape">
                    <wps:wsp>
                      <wps:cNvSpPr/>
                      <wps:spPr>
                        <a:xfrm>
                          <a:off x="0" y="0"/>
                          <a:ext cx="184150" cy="95250"/>
                        </a:xfrm>
                        <a:prstGeom prst="rightArrow">
                          <a:avLst>
                            <a:gd name="adj1" fmla="val 50000"/>
                            <a:gd name="adj2" fmla="val 50000"/>
                          </a:avLst>
                        </a:prstGeom>
                        <a:solidFill>
                          <a:srgbClr val="FF0000"/>
                        </a:solidFill>
                        <a:ln w="12700" cap="flat">
                          <a:solidFill>
                            <a:srgbClr val="32538F"/>
                          </a:solidFill>
                          <a:prstDash val="solid"/>
                          <a:miter lim="800000"/>
                        </a:ln>
                        <a:effectLst/>
                      </wps:spPr>
                      <wps:bodyPr/>
                    </wps:wsp>
                  </a:graphicData>
                </a:graphic>
              </wp:anchor>
            </w:drawing>
          </mc:Choice>
          <mc:Fallback>
            <w:pict>
              <v:shape w14:anchorId="3B040D4E" id="officeArt object" o:spid="_x0000_s1026" type="#_x0000_t13" alt="Arrow: Right 23" style="position:absolute;margin-left:189pt;margin-top:64.4pt;width:14.5pt;height:7.5pt;z-index:251674624;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" adj="16014" fillcolor="red" strokecolor="#32538f" strokeweight="1pt">
                <w10:wrap anchory="line"/>
              </v:shape>
            </w:pict>
          </mc:Fallback>
        </mc:AlternateContent>
      </w:r>
      <w:r w:rsidRPr="00E50CE1">
        <w:rPr>
          <w:rFonts w:ascii="Calibri" w:eastAsia="Times New Roman" w:hAnsi="Calibri" w:cs="Times New Roman"/>
          <w:noProof/>
          <w:lang w:val="en-GB" w:eastAsia="en-GB"/>
        </w:rPr>
        <mc:AlternateContent>
          <mc:Choice Requires="wps">
            <w:drawing>
              <wp:anchor distT="0" distB="0" distL="0" distR="0" simplePos="0" relativeHeight="251669504" behindDoc="0" locked="0" layoutInCell="1" allowOverlap="1" wp14:anchorId="0B688A5A" wp14:editId="44906308">
                <wp:simplePos x="0" y="0"/>
                <wp:positionH relativeFrom="column">
                  <wp:posOffset>3594100</wp:posOffset>
                </wp:positionH>
                <wp:positionV relativeFrom="line">
                  <wp:posOffset>1789430</wp:posOffset>
                </wp:positionV>
                <wp:extent cx="247650" cy="260350"/>
                <wp:effectExtent l="0" t="0" r="0" b="0"/>
                <wp:wrapNone/>
                <wp:docPr id="1073741828" name="officeArt object" descr="Text Box 34"/>
                <wp:cNvGraphicFramePr/>
                <a:graphic xmlns:a="http://schemas.openxmlformats.org/drawingml/2006/main">
                  <a:graphicData uri="http://schemas.microsoft.com/office/word/2010/wordprocessingShape">
                    <wps:wsp>
                      <wps:cNvSpPr txBox="1"/>
                      <wps:spPr>
                        <a:xfrm>
                          <a:off x="0" y="0"/>
                          <a:ext cx="247650" cy="260350"/>
                        </a:xfrm>
                        <a:prstGeom prst="rect">
                          <a:avLst/>
                        </a:prstGeom>
                        <a:solidFill>
                          <a:srgbClr val="FFFFFF"/>
                        </a:solidFill>
                        <a:ln w="6350" cap="flat">
                          <a:solidFill>
                            <a:srgbClr val="000000"/>
                          </a:solidFill>
                          <a:prstDash val="solid"/>
                          <a:round/>
                        </a:ln>
                        <a:effectLst/>
                      </wps:spPr>
                      <wps:txbx>
                        <w:txbxContent>
                          <w:p w:rsidR="00433B6E" w:rsidRDefault="00433B6E" w:rsidP="00433B6E">
                            <w:proofErr w:type="gramStart"/>
                            <w:r>
                              <w:t>b</w:t>
                            </w:r>
                            <w:proofErr w:type="gramEnd"/>
                          </w:p>
                        </w:txbxContent>
                      </wps:txbx>
                      <wps:bodyPr wrap="square" lIns="45719" tIns="45719" rIns="45719" bIns="45719" numCol="1" anchor="t">
                        <a:noAutofit/>
                      </wps:bodyPr>
                    </wps:wsp>
                  </a:graphicData>
                </a:graphic>
              </wp:anchor>
            </w:drawing>
          </mc:Choice>
          <mc:Fallback>
            <w:pict>
              <v:shape w14:anchorId="0B688A5A" id="_x0000_s1027" type="#_x0000_t202" alt="Text Box 34" style="position:absolute;left:0;text-align:left;margin-left:283pt;margin-top:140.9pt;width:19.5pt;height:20.5pt;z-index:251669504;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" strokeweight=".5pt">
                <v:stroke joinstyle="round"/>
                <v:textbox inset="1.27mm,1.27mm,1.27mm,1.27mm">
                  <w:txbxContent>
                    <w:p w:rsidR="00433B6E" w:rsidRDefault="00433B6E" w:rsidP="00433B6E">
                      <w:proofErr w:type="gramStart"/>
                      <w:r>
                        <w:t>b</w:t>
                      </w:r>
                      <w:proofErr w:type="gramEnd"/>
                    </w:p>
                  </w:txbxContent>
                </v:textbox>
                <w10:wrap anchory="line"/>
              </v:shape>
            </w:pict>
          </mc:Fallback>
        </mc:AlternateContent>
      </w:r>
      <w:r w:rsidRPr="00E50CE1">
        <w:rPr>
          <w:rFonts w:ascii="Calibri" w:eastAsia="Times New Roman" w:hAnsi="Calibri" w:cs="Times New Roman"/>
          <w:noProof/>
          <w:lang w:val="en-GB" w:eastAsia="en-GB"/>
        </w:rPr>
        <mc:AlternateContent>
          <mc:Choice Requires="wps">
            <w:drawing>
              <wp:anchor distT="0" distB="0" distL="0" distR="0" simplePos="0" relativeHeight="251663360" behindDoc="0" locked="0" layoutInCell="1" allowOverlap="1" wp14:anchorId="7233F68E" wp14:editId="4E869ED2">
                <wp:simplePos x="0" y="0"/>
                <wp:positionH relativeFrom="column">
                  <wp:posOffset>1460500</wp:posOffset>
                </wp:positionH>
                <wp:positionV relativeFrom="line">
                  <wp:posOffset>1802130</wp:posOffset>
                </wp:positionV>
                <wp:extent cx="234950" cy="273050"/>
                <wp:effectExtent l="0" t="0" r="0" b="0"/>
                <wp:wrapNone/>
                <wp:docPr id="1073741829" name="officeArt object" descr="Text Box 32"/>
                <wp:cNvGraphicFramePr/>
                <a:graphic xmlns:a="http://schemas.openxmlformats.org/drawingml/2006/main">
                  <a:graphicData uri="http://schemas.microsoft.com/office/word/2010/wordprocessingShape">
                    <wps:wsp>
                      <wps:cNvSpPr txBox="1"/>
                      <wps:spPr>
                        <a:xfrm>
                          <a:off x="0" y="0"/>
                          <a:ext cx="234950" cy="273050"/>
                        </a:xfrm>
                        <a:prstGeom prst="rect">
                          <a:avLst/>
                        </a:prstGeom>
                        <a:solidFill>
                          <a:srgbClr val="FFFFFF"/>
                        </a:solidFill>
                        <a:ln w="6350" cap="flat">
                          <a:solidFill>
                            <a:srgbClr val="000000"/>
                          </a:solidFill>
                          <a:prstDash val="solid"/>
                          <a:round/>
                        </a:ln>
                        <a:effectLst/>
                      </wps:spPr>
                      <wps:txbx>
                        <w:txbxContent>
                          <w:p w:rsidR="00433B6E" w:rsidRDefault="00433B6E" w:rsidP="00433B6E">
                            <w:proofErr w:type="gramStart"/>
                            <w:r>
                              <w:t>a</w:t>
                            </w:r>
                            <w:proofErr w:type="gramEnd"/>
                          </w:p>
                        </w:txbxContent>
                      </wps:txbx>
                      <wps:bodyPr wrap="square" lIns="45719" tIns="45719" rIns="45719" bIns="45719" numCol="1" anchor="t">
                        <a:noAutofit/>
                      </wps:bodyPr>
                    </wps:wsp>
                  </a:graphicData>
                </a:graphic>
              </wp:anchor>
            </w:drawing>
          </mc:Choice>
          <mc:Fallback>
            <w:pict>
              <v:shape w14:anchorId="7233F68E" id="_x0000_s1028" type="#_x0000_t202" alt="Text Box 32" style="position:absolute;left:0;text-align:left;margin-left:115pt;margin-top:141.9pt;width:18.5pt;height:21.5pt;z-index:251663360;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" strokeweight=".5pt">
                <v:stroke joinstyle="round"/>
                <v:textbox inset="1.27mm,1.27mm,1.27mm,1.27mm">
                  <w:txbxContent>
                    <w:p w:rsidR="00433B6E" w:rsidRDefault="00433B6E" w:rsidP="00433B6E">
                      <w:proofErr w:type="gramStart"/>
                      <w:r>
                        <w:t>a</w:t>
                      </w:r>
                      <w:proofErr w:type="gramEnd"/>
                    </w:p>
                  </w:txbxContent>
                </v:textbox>
                <w10:wrap anchory="line"/>
              </v:shape>
            </w:pict>
          </mc:Fallback>
        </mc:AlternateContent>
      </w:r>
      <w:r w:rsidRPr="00E50CE1">
        <w:rPr>
          <w:rFonts w:ascii="Calibri" w:eastAsia="Times New Roman" w:hAnsi="Calibri" w:cs="Times New Roman"/>
          <w:noProof/>
          <w:lang w:val="en-GB" w:eastAsia="en-GB"/>
        </w:rPr>
        <mc:AlternateContent>
          <mc:Choice Requires="wps">
            <w:drawing>
              <wp:anchor distT="0" distB="0" distL="0" distR="0" simplePos="0" relativeHeight="251659264" behindDoc="0" locked="0" layoutInCell="1" allowOverlap="1" wp14:anchorId="1D87B43C" wp14:editId="7A1A2262">
                <wp:simplePos x="0" y="0"/>
                <wp:positionH relativeFrom="column">
                  <wp:posOffset>457200</wp:posOffset>
                </wp:positionH>
                <wp:positionV relativeFrom="line">
                  <wp:posOffset>938530</wp:posOffset>
                </wp:positionV>
                <wp:extent cx="184150" cy="152400"/>
                <wp:effectExtent l="0" t="0" r="0" b="0"/>
                <wp:wrapNone/>
                <wp:docPr id="1073741830" name="officeArt object" descr="Arrow: Chevron 22"/>
                <wp:cNvGraphicFramePr/>
                <a:graphic xmlns:a="http://schemas.openxmlformats.org/drawingml/2006/main">
                  <a:graphicData uri="http://schemas.microsoft.com/office/word/2010/wordprocessingShape">
                    <wps:wsp>
                      <wps:cNvSpPr/>
                      <wps:spPr>
                        <a:xfrm>
                          <a:off x="0" y="0"/>
                          <a:ext cx="184150" cy="152400"/>
                        </a:xfrm>
                        <a:prstGeom prst="chevron">
                          <a:avLst>
                            <a:gd name="adj" fmla="val 50000"/>
                          </a:avLst>
                        </a:prstGeom>
                        <a:solidFill>
                          <a:srgbClr val="FF0000"/>
                        </a:solidFill>
                        <a:ln w="12700" cap="flat">
                          <a:solidFill>
                            <a:srgbClr val="32538F"/>
                          </a:solidFill>
                          <a:prstDash val="solid"/>
                          <a:miter lim="800000"/>
                        </a:ln>
                        <a:effectLst/>
                      </wps:spPr>
                      <wps:bodyPr/>
                    </wps:wsp>
                  </a:graphicData>
                </a:graphic>
              </wp:anchor>
            </w:drawing>
          </mc:Choice>
          <mc:Fallback>
            <w:pict>
              <v:shapetype w14:anchorId="4F55588B"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officeArt object" o:spid="_x0000_s1026" type="#_x0000_t55" alt="Arrow: Chevron 22" style="position:absolute;margin-left:36pt;margin-top:73.9pt;width:14.5pt;height:12pt;z-index:251659264;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" adj="12662" fillcolor="red" strokecolor="#32538f" strokeweight="1pt">
                <w10:wrap anchory="line"/>
              </v:shape>
            </w:pict>
          </mc:Fallback>
        </mc:AlternateContent>
      </w:r>
      <w:r w:rsidRPr="00E50CE1">
        <w:rPr>
          <w:rFonts w:ascii="Calibri" w:eastAsia="Times New Roman" w:hAnsi="Calibri" w:cs="Times New Roman"/>
          <w:noProof/>
          <w:lang w:val="en-GB" w:eastAsia="en-GB"/>
        </w:rPr>
        <w:drawing>
          <wp:inline distT="0" distB="0" distL="0" distR="0" wp14:anchorId="57A5F978" wp14:editId="156051C7">
            <wp:extent cx="1828800" cy="2103120"/>
            <wp:effectExtent l="0" t="0" r="0" b="0"/>
            <wp:docPr id="2" name="officeArt object"/>
            <wp:cNvGraphicFramePr/>
            <a:graphic xmlns:a="http://schemas.openxmlformats.org/drawingml/2006/main">
              <a:graphicData uri="http://schemas.openxmlformats.org/drawingml/2006/picture">
                <pic:pic xmlns:pic="http://schemas.openxmlformats.org/drawingml/2006/picture">
                  <pic:nvPicPr>
                    <pic:cNvPr id="1073741831" name="image1.png"/>
                    <pic:cNvPicPr>
                      <a:picLocks noChangeAspect="1"/>
                    </pic:cNvPicPr>
                  </pic:nvPicPr>
                  <pic:blipFill>
                    <a:blip r:embed="rId6"/>
                    <a:srcRect l="32306" t="20798" r="36921" b="18140"/>
                    <a:stretch>
                      <a:fillRect/>
                    </a:stretch>
                  </pic:blipFill>
                  <pic:spPr>
                    <a:xfrm>
                      <a:off x="0" y="0"/>
                      <a:ext cx="1828800" cy="2103120"/>
                    </a:xfrm>
                    <a:prstGeom prst="rect">
                      <a:avLst/>
                    </a:prstGeom>
                    <a:ln w="12700" cap="flat">
                      <a:noFill/>
                      <a:miter lim="400000"/>
                    </a:ln>
                    <a:effectLst/>
                  </pic:spPr>
                </pic:pic>
              </a:graphicData>
            </a:graphic>
          </wp:inline>
        </w:drawing>
      </w:r>
      <w:r w:rsidRPr="00E50CE1">
        <w:rPr>
          <w:rFonts w:ascii="Calibri" w:eastAsia="Times New Roman" w:hAnsi="Calibri" w:cs="Times New Roman"/>
          <w:lang w:val="en-GB" w:eastAsia="en-GB"/>
        </w:rPr>
        <w:t xml:space="preserve"> </w:t>
      </w:r>
      <w:r w:rsidRPr="00E50CE1">
        <w:rPr>
          <w:rFonts w:ascii="Calibri" w:eastAsia="Times New Roman" w:hAnsi="Calibri" w:cs="Times New Roman"/>
          <w:noProof/>
          <w:lang w:val="en-GB" w:eastAsia="en-GB"/>
        </w:rPr>
        <w:drawing>
          <wp:inline distT="0" distB="0" distL="0" distR="0" wp14:anchorId="2B2E0953" wp14:editId="20287A50">
            <wp:extent cx="2011680" cy="2103120"/>
            <wp:effectExtent l="0" t="0" r="0" b="0"/>
            <wp:docPr id="3" name="officeArt object"/>
            <wp:cNvGraphicFramePr/>
            <a:graphic xmlns:a="http://schemas.openxmlformats.org/drawingml/2006/main">
              <a:graphicData uri="http://schemas.openxmlformats.org/drawingml/2006/picture">
                <pic:pic xmlns:pic="http://schemas.openxmlformats.org/drawingml/2006/picture">
                  <pic:nvPicPr>
                    <pic:cNvPr id="1073741832" name="image2.png"/>
                    <pic:cNvPicPr>
                      <a:picLocks noChangeAspect="1"/>
                    </pic:cNvPicPr>
                  </pic:nvPicPr>
                  <pic:blipFill>
                    <a:blip r:embed="rId7"/>
                    <a:srcRect l="35380" t="21624" r="30772" b="16215"/>
                    <a:stretch>
                      <a:fillRect/>
                    </a:stretch>
                  </pic:blipFill>
                  <pic:spPr>
                    <a:xfrm>
                      <a:off x="0" y="0"/>
                      <a:ext cx="2011680" cy="2103120"/>
                    </a:xfrm>
                    <a:prstGeom prst="rect">
                      <a:avLst/>
                    </a:prstGeom>
                    <a:ln w="12700" cap="flat">
                      <a:noFill/>
                      <a:miter lim="400000"/>
                    </a:ln>
                    <a:effectLst/>
                  </pic:spPr>
                </pic:pic>
              </a:graphicData>
            </a:graphic>
          </wp:inline>
        </w:drawing>
      </w:r>
      <w:r w:rsidRPr="00E50CE1">
        <w:rPr>
          <w:rFonts w:ascii="Times New Roman" w:eastAsia="Times New Roman" w:hAnsi="Times New Roman" w:cs="Times New Roman"/>
          <w:b/>
          <w:bCs/>
          <w:sz w:val="24"/>
          <w:szCs w:val="24"/>
          <w:lang w:val="en-GB" w:eastAsia="en-GB"/>
        </w:rPr>
        <w:t xml:space="preserve"> </w:t>
      </w:r>
      <w:r w:rsidRPr="00E50CE1">
        <w:rPr>
          <w:rFonts w:ascii="Calibri" w:eastAsia="Times New Roman" w:hAnsi="Calibri" w:cs="Times New Roman"/>
          <w:noProof/>
          <w:lang w:val="en-GB" w:eastAsia="en-GB"/>
        </w:rPr>
        <w:drawing>
          <wp:inline distT="0" distB="0" distL="0" distR="0" wp14:anchorId="4BE91BA4" wp14:editId="48D62E7B">
            <wp:extent cx="1828800" cy="2103120"/>
            <wp:effectExtent l="0" t="0" r="0" b="0"/>
            <wp:docPr id="8" name="officeArt object"/>
            <wp:cNvGraphicFramePr/>
            <a:graphic xmlns:a="http://schemas.openxmlformats.org/drawingml/2006/main">
              <a:graphicData uri="http://schemas.openxmlformats.org/drawingml/2006/picture">
                <pic:pic xmlns:pic="http://schemas.openxmlformats.org/drawingml/2006/picture">
                  <pic:nvPicPr>
                    <pic:cNvPr id="1073741833" name="image3.png"/>
                    <pic:cNvPicPr>
                      <a:picLocks noChangeAspect="1"/>
                    </pic:cNvPicPr>
                  </pic:nvPicPr>
                  <pic:blipFill>
                    <a:blip r:embed="rId8"/>
                    <a:srcRect l="36152" t="22971" r="33077" b="14868"/>
                    <a:stretch>
                      <a:fillRect/>
                    </a:stretch>
                  </pic:blipFill>
                  <pic:spPr>
                    <a:xfrm>
                      <a:off x="0" y="0"/>
                      <a:ext cx="1828800" cy="2103120"/>
                    </a:xfrm>
                    <a:prstGeom prst="rect">
                      <a:avLst/>
                    </a:prstGeom>
                    <a:ln w="12700" cap="flat">
                      <a:noFill/>
                      <a:miter lim="400000"/>
                    </a:ln>
                    <a:effectLst/>
                  </pic:spPr>
                </pic:pic>
              </a:graphicData>
            </a:graphic>
          </wp:inline>
        </w:drawing>
      </w:r>
    </w:p>
    <w:p w:rsidR="00433B6E" w:rsidRPr="00E50CE1" w:rsidRDefault="00433B6E" w:rsidP="00433B6E">
      <w:pPr>
        <w:spacing w:after="0" w:line="240" w:lineRule="auto"/>
        <w:jc w:val="both"/>
        <w:rPr>
          <w:rFonts w:ascii="Times New Roman" w:eastAsia="Times New Roman" w:hAnsi="Times New Roman" w:cs="Times New Roman"/>
          <w:b/>
          <w:iCs/>
          <w:sz w:val="20"/>
          <w:szCs w:val="20"/>
          <w:lang w:val="en-GB" w:eastAsia="en-GB"/>
        </w:rPr>
      </w:pPr>
      <w:r w:rsidRPr="00E50CE1">
        <w:rPr>
          <w:rFonts w:ascii="Times New Roman" w:eastAsia="Times New Roman" w:hAnsi="Times New Roman" w:cs="Times New Roman"/>
          <w:b/>
          <w:iCs/>
          <w:sz w:val="20"/>
          <w:szCs w:val="20"/>
          <w:lang w:val="en-GB" w:eastAsia="en-GB"/>
        </w:rPr>
        <w:t xml:space="preserve">Fig 1. (a)T1WI showing the tumour within the third ventricle on axial view - red arrowhead. (b) T2WI showing the tumour filling the third ventricle in sagittal and coronal view-red arrow. (c)T2WI coronal section showing the tumour in the third ventricle and widening of the foramen of </w:t>
      </w:r>
      <w:proofErr w:type="spellStart"/>
      <w:r w:rsidRPr="00E50CE1">
        <w:rPr>
          <w:rFonts w:ascii="Times New Roman" w:eastAsia="Times New Roman" w:hAnsi="Times New Roman" w:cs="Times New Roman"/>
          <w:b/>
          <w:iCs/>
          <w:sz w:val="20"/>
          <w:szCs w:val="20"/>
          <w:lang w:val="en-GB" w:eastAsia="en-GB"/>
        </w:rPr>
        <w:t>Monro</w:t>
      </w:r>
      <w:proofErr w:type="spellEnd"/>
      <w:r w:rsidRPr="00E50CE1">
        <w:rPr>
          <w:rFonts w:ascii="Times New Roman" w:eastAsia="Times New Roman" w:hAnsi="Times New Roman" w:cs="Times New Roman"/>
          <w:b/>
          <w:iCs/>
          <w:sz w:val="20"/>
          <w:szCs w:val="20"/>
          <w:lang w:val="en-GB" w:eastAsia="en-GB"/>
        </w:rPr>
        <w:t>.</w:t>
      </w:r>
    </w:p>
    <w:p w:rsidR="00433B6E" w:rsidRPr="00E50CE1" w:rsidRDefault="00433B6E" w:rsidP="00433B6E">
      <w:pPr>
        <w:spacing w:after="0" w:line="480" w:lineRule="auto"/>
        <w:jc w:val="both"/>
        <w:rPr>
          <w:rFonts w:ascii="Times New Roman" w:eastAsia="Times New Roman" w:hAnsi="Times New Roman" w:cs="Times New Roman"/>
          <w:i/>
          <w:iCs/>
          <w:sz w:val="24"/>
          <w:szCs w:val="24"/>
          <w:lang w:val="en-GB" w:eastAsia="en-GB"/>
        </w:rPr>
      </w:pPr>
    </w:p>
    <w:p w:rsidR="00433B6E" w:rsidRPr="00E50CE1" w:rsidRDefault="00433B6E" w:rsidP="00433B6E">
      <w:pPr>
        <w:spacing w:after="200" w:line="480" w:lineRule="auto"/>
        <w:jc w:val="both"/>
        <w:rPr>
          <w:rFonts w:ascii="Times New Roman" w:eastAsia="Times New Roman" w:hAnsi="Times New Roman" w:cs="Times New Roman"/>
          <w:b/>
          <w:bCs/>
          <w:sz w:val="24"/>
          <w:szCs w:val="24"/>
          <w:lang w:val="en-GB" w:eastAsia="en-GB"/>
        </w:rPr>
      </w:pPr>
    </w:p>
    <w:p w:rsidR="00433B6E" w:rsidRPr="00E50CE1" w:rsidRDefault="00433B6E" w:rsidP="00433B6E">
      <w:pPr>
        <w:spacing w:after="200" w:line="480" w:lineRule="auto"/>
        <w:jc w:val="both"/>
        <w:rPr>
          <w:rFonts w:ascii="Times New Roman" w:eastAsia="Times New Roman" w:hAnsi="Times New Roman" w:cs="Times New Roman"/>
          <w:b/>
          <w:bCs/>
          <w:sz w:val="24"/>
          <w:szCs w:val="24"/>
          <w:lang w:val="en-GB" w:eastAsia="en-GB"/>
        </w:rPr>
      </w:pPr>
      <w:r w:rsidRPr="00E50CE1">
        <w:rPr>
          <w:rFonts w:ascii="Times New Roman" w:eastAsia="Times New Roman" w:hAnsi="Times New Roman" w:cs="Times New Roman"/>
          <w:b/>
          <w:bCs/>
          <w:noProof/>
          <w:sz w:val="24"/>
          <w:szCs w:val="24"/>
          <w:lang w:val="en-GB" w:eastAsia="en-GB"/>
        </w:rPr>
        <w:drawing>
          <wp:inline distT="0" distB="0" distL="0" distR="0" wp14:anchorId="5BC1FE99" wp14:editId="3C510C39">
            <wp:extent cx="3039745" cy="2932430"/>
            <wp:effectExtent l="0" t="0" r="8255"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9745" cy="2932430"/>
                    </a:xfrm>
                    <a:prstGeom prst="rect">
                      <a:avLst/>
                    </a:prstGeom>
                    <a:noFill/>
                    <a:ln>
                      <a:noFill/>
                    </a:ln>
                  </pic:spPr>
                </pic:pic>
              </a:graphicData>
            </a:graphic>
          </wp:inline>
        </w:drawing>
      </w:r>
    </w:p>
    <w:p w:rsidR="00433B6E" w:rsidRPr="00E50CE1" w:rsidRDefault="00433B6E" w:rsidP="00433B6E">
      <w:pPr>
        <w:spacing w:after="200" w:line="240" w:lineRule="auto"/>
        <w:jc w:val="both"/>
        <w:rPr>
          <w:rFonts w:ascii="Times New Roman" w:eastAsia="Times New Roman" w:hAnsi="Times New Roman" w:cs="Times New Roman"/>
          <w:b/>
          <w:iCs/>
          <w:sz w:val="20"/>
          <w:szCs w:val="20"/>
          <w:lang w:val="en-GB" w:eastAsia="en-GB"/>
        </w:rPr>
      </w:pPr>
      <w:r w:rsidRPr="00E50CE1">
        <w:rPr>
          <w:rFonts w:ascii="Times New Roman" w:eastAsia="Times New Roman" w:hAnsi="Times New Roman" w:cs="Times New Roman"/>
          <w:b/>
          <w:iCs/>
          <w:sz w:val="20"/>
          <w:szCs w:val="20"/>
          <w:lang w:val="en-GB" w:eastAsia="en-GB"/>
        </w:rPr>
        <w:lastRenderedPageBreak/>
        <w:t xml:space="preserve">Fig 2. </w:t>
      </w:r>
      <w:r w:rsidRPr="00E50CE1">
        <w:rPr>
          <w:rFonts w:ascii="Times New Roman" w:eastAsia="Times New Roman" w:hAnsi="Times New Roman" w:cs="Times New Roman"/>
          <w:b/>
          <w:bCs/>
          <w:iCs/>
          <w:sz w:val="20"/>
          <w:szCs w:val="20"/>
          <w:lang w:val="en-GB" w:eastAsia="en-GB"/>
        </w:rPr>
        <w:t xml:space="preserve">Surgical landmarks to determine the </w:t>
      </w:r>
      <w:proofErr w:type="spellStart"/>
      <w:r w:rsidRPr="00E50CE1">
        <w:rPr>
          <w:rFonts w:ascii="Times New Roman" w:eastAsia="Times New Roman" w:hAnsi="Times New Roman" w:cs="Times New Roman"/>
          <w:b/>
          <w:bCs/>
          <w:iCs/>
          <w:sz w:val="20"/>
          <w:szCs w:val="20"/>
          <w:lang w:val="en-GB" w:eastAsia="en-GB"/>
        </w:rPr>
        <w:t>Kochers</w:t>
      </w:r>
      <w:proofErr w:type="spellEnd"/>
      <w:r w:rsidRPr="00E50CE1">
        <w:rPr>
          <w:rFonts w:ascii="Times New Roman" w:eastAsia="Times New Roman" w:hAnsi="Times New Roman" w:cs="Times New Roman"/>
          <w:b/>
          <w:bCs/>
          <w:iCs/>
          <w:sz w:val="20"/>
          <w:szCs w:val="20"/>
          <w:lang w:val="en-GB" w:eastAsia="en-GB"/>
        </w:rPr>
        <w:t xml:space="preserve">’ point (the red </w:t>
      </w:r>
      <w:proofErr w:type="spellStart"/>
      <w:r w:rsidRPr="00E50CE1">
        <w:rPr>
          <w:rFonts w:ascii="Times New Roman" w:eastAsia="Times New Roman" w:hAnsi="Times New Roman" w:cs="Times New Roman"/>
          <w:b/>
          <w:bCs/>
          <w:iCs/>
          <w:sz w:val="20"/>
          <w:szCs w:val="20"/>
          <w:lang w:val="en-GB" w:eastAsia="en-GB"/>
        </w:rPr>
        <w:t>Asterix</w:t>
      </w:r>
      <w:proofErr w:type="spellEnd"/>
      <w:r w:rsidRPr="00E50CE1">
        <w:rPr>
          <w:rFonts w:ascii="Times New Roman" w:eastAsia="Times New Roman" w:hAnsi="Times New Roman" w:cs="Times New Roman"/>
          <w:b/>
          <w:bCs/>
          <w:iCs/>
          <w:sz w:val="20"/>
          <w:szCs w:val="20"/>
          <w:lang w:val="en-GB" w:eastAsia="en-GB"/>
        </w:rPr>
        <w:t xml:space="preserve"> *)</w:t>
      </w:r>
      <w:r w:rsidRPr="00E50CE1">
        <w:rPr>
          <w:rFonts w:ascii="Times New Roman" w:eastAsia="Times New Roman" w:hAnsi="Times New Roman" w:cs="Times New Roman"/>
          <w:b/>
          <w:iCs/>
          <w:sz w:val="20"/>
          <w:szCs w:val="20"/>
          <w:lang w:val="en-GB" w:eastAsia="en-GB"/>
        </w:rPr>
        <w:t>. The point is 2cm from the midline (line A) and 2cm anterior to the coronal suture. In the diagram this is the midpoint of line C. Line B is 2cm posterior to the coronal suture, which was the posterior limit of our incision. The broken line shows the inverted “U” incision line.</w:t>
      </w:r>
    </w:p>
    <w:p w:rsidR="00433B6E" w:rsidRPr="00E50CE1" w:rsidRDefault="00433B6E" w:rsidP="00433B6E">
      <w:pPr>
        <w:spacing w:after="200" w:line="480" w:lineRule="auto"/>
        <w:jc w:val="both"/>
        <w:rPr>
          <w:rFonts w:ascii="Times New Roman" w:eastAsia="Times New Roman" w:hAnsi="Times New Roman" w:cs="Times New Roman"/>
          <w:b/>
          <w:bCs/>
          <w:sz w:val="24"/>
          <w:szCs w:val="24"/>
          <w:lang w:val="en-GB" w:eastAsia="en-GB"/>
        </w:rPr>
      </w:pPr>
    </w:p>
    <w:p w:rsidR="00433B6E" w:rsidRPr="00E50CE1" w:rsidRDefault="00433B6E" w:rsidP="00433B6E">
      <w:pPr>
        <w:spacing w:after="200" w:line="480" w:lineRule="auto"/>
        <w:jc w:val="both"/>
        <w:rPr>
          <w:rFonts w:ascii="Times New Roman" w:eastAsia="Times New Roman" w:hAnsi="Times New Roman" w:cs="Times New Roman"/>
          <w:b/>
          <w:bCs/>
          <w:sz w:val="24"/>
          <w:szCs w:val="24"/>
          <w:lang w:val="en-GB" w:eastAsia="en-GB"/>
        </w:rPr>
      </w:pPr>
      <w:r w:rsidRPr="00E50CE1">
        <w:rPr>
          <w:rFonts w:ascii="Times New Roman" w:eastAsia="Times New Roman" w:hAnsi="Times New Roman" w:cs="Times New Roman"/>
          <w:noProof/>
          <w:sz w:val="24"/>
          <w:szCs w:val="24"/>
          <w:lang w:val="en-GB" w:eastAsia="en-GB"/>
        </w:rPr>
        <mc:AlternateContent>
          <mc:Choice Requires="wps">
            <w:drawing>
              <wp:anchor distT="0" distB="0" distL="0" distR="0" simplePos="0" relativeHeight="251677696" behindDoc="0" locked="0" layoutInCell="1" allowOverlap="1" wp14:anchorId="0C4EBBFB" wp14:editId="438E346C">
                <wp:simplePos x="0" y="0"/>
                <wp:positionH relativeFrom="column">
                  <wp:posOffset>1117282</wp:posOffset>
                </wp:positionH>
                <wp:positionV relativeFrom="line">
                  <wp:posOffset>534988</wp:posOffset>
                </wp:positionV>
                <wp:extent cx="177752" cy="108015"/>
                <wp:effectExtent l="38850" t="15116" r="38850" b="15116"/>
                <wp:wrapNone/>
                <wp:docPr id="1073741834" name="officeArt object" descr="Arrow: Chevron 12"/>
                <wp:cNvGraphicFramePr/>
                <a:graphic xmlns:a="http://schemas.openxmlformats.org/drawingml/2006/main">
                  <a:graphicData uri="http://schemas.microsoft.com/office/word/2010/wordprocessingShape">
                    <wps:wsp>
                      <wps:cNvSpPr/>
                      <wps:spPr>
                        <a:xfrm rot="14283013">
                          <a:off x="0" y="0"/>
                          <a:ext cx="177752" cy="108015"/>
                        </a:xfrm>
                        <a:prstGeom prst="chevron">
                          <a:avLst>
                            <a:gd name="adj" fmla="val 50000"/>
                          </a:avLst>
                        </a:prstGeom>
                        <a:solidFill>
                          <a:srgbClr val="FF0000"/>
                        </a:solidFill>
                        <a:ln w="12700" cap="flat">
                          <a:solidFill>
                            <a:srgbClr val="32538F"/>
                          </a:solidFill>
                          <a:prstDash val="solid"/>
                          <a:miter lim="800000"/>
                        </a:ln>
                        <a:effectLst/>
                      </wps:spPr>
                      <wps:bodyPr/>
                    </wps:wsp>
                  </a:graphicData>
                </a:graphic>
              </wp:anchor>
            </w:drawing>
          </mc:Choice>
          <mc:Fallback>
            <w:pict>
              <v:shape w14:anchorId="686803B5" id="officeArt object" o:spid="_x0000_s1026" type="#_x0000_t55" alt="Arrow: Chevron 12" style="position:absolute;margin-left:87.95pt;margin-top:42.15pt;width:14pt;height:8.5pt;rotation:-7992101fd;z-index:251677696;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" adj="15037" fillcolor="red" strokecolor="#32538f" strokeweight="1pt">
                <w10:wrap anchory="line"/>
              </v:shape>
            </w:pict>
          </mc:Fallback>
        </mc:AlternateContent>
      </w:r>
      <w:r w:rsidRPr="00E50CE1">
        <w:rPr>
          <w:rFonts w:ascii="Times New Roman" w:eastAsia="Times New Roman" w:hAnsi="Times New Roman" w:cs="Times New Roman"/>
          <w:noProof/>
          <w:sz w:val="24"/>
          <w:szCs w:val="24"/>
          <w:lang w:val="en-GB" w:eastAsia="en-GB"/>
        </w:rPr>
        <w:drawing>
          <wp:inline distT="0" distB="0" distL="0" distR="0" wp14:anchorId="417DDB77" wp14:editId="145941F8">
            <wp:extent cx="1892300" cy="2137935"/>
            <wp:effectExtent l="0" t="0" r="0" b="0"/>
            <wp:docPr id="46" name="officeArt object" descr="A close up of a bowl&#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5" name="A close up of a bowl&#10;&#10;Description automatically generated" descr="A close up of a bowlDescription automatically generated"/>
                    <pic:cNvPicPr>
                      <a:picLocks noChangeAspect="1"/>
                    </pic:cNvPicPr>
                  </pic:nvPicPr>
                  <pic:blipFill>
                    <a:blip r:embed="rId10"/>
                    <a:stretch>
                      <a:fillRect/>
                    </a:stretch>
                  </pic:blipFill>
                  <pic:spPr>
                    <a:xfrm>
                      <a:off x="0" y="0"/>
                      <a:ext cx="1892300" cy="2137935"/>
                    </a:xfrm>
                    <a:prstGeom prst="rect">
                      <a:avLst/>
                    </a:prstGeom>
                    <a:ln w="12700" cap="flat">
                      <a:noFill/>
                      <a:miter lim="400000"/>
                    </a:ln>
                    <a:effectLst/>
                  </pic:spPr>
                </pic:pic>
              </a:graphicData>
            </a:graphic>
          </wp:inline>
        </w:drawing>
      </w:r>
    </w:p>
    <w:p w:rsidR="00433B6E" w:rsidRPr="00E50CE1" w:rsidRDefault="00433B6E" w:rsidP="00433B6E">
      <w:pPr>
        <w:spacing w:after="200" w:line="240" w:lineRule="auto"/>
        <w:jc w:val="both"/>
        <w:rPr>
          <w:rFonts w:ascii="Times New Roman" w:eastAsia="Times New Roman" w:hAnsi="Times New Roman" w:cs="Times New Roman"/>
          <w:b/>
          <w:sz w:val="20"/>
          <w:szCs w:val="20"/>
          <w:lang w:val="en-GB" w:eastAsia="en-GB"/>
        </w:rPr>
      </w:pPr>
      <w:r w:rsidRPr="00E50CE1">
        <w:rPr>
          <w:rFonts w:ascii="Times New Roman" w:eastAsia="Times New Roman" w:hAnsi="Times New Roman" w:cs="Times New Roman"/>
          <w:b/>
          <w:sz w:val="20"/>
          <w:szCs w:val="20"/>
          <w:lang w:val="en-GB" w:eastAsia="en-GB"/>
        </w:rPr>
        <w:t xml:space="preserve">Fig 3: </w:t>
      </w:r>
      <w:r w:rsidRPr="00E50CE1">
        <w:rPr>
          <w:rFonts w:ascii="Times New Roman" w:eastAsia="Times New Roman" w:hAnsi="Times New Roman" w:cs="Times New Roman"/>
          <w:b/>
          <w:iCs/>
          <w:sz w:val="20"/>
          <w:szCs w:val="20"/>
          <w:lang w:val="en-GB" w:eastAsia="en-GB"/>
        </w:rPr>
        <w:t>Post surgery scar showing the inverted “U” incision (Arrow-head) used to gain access to the third ventricle</w:t>
      </w:r>
      <w:r w:rsidRPr="00E50CE1">
        <w:rPr>
          <w:rFonts w:ascii="Times New Roman" w:eastAsia="Times New Roman" w:hAnsi="Times New Roman" w:cs="Times New Roman"/>
          <w:b/>
          <w:sz w:val="20"/>
          <w:szCs w:val="20"/>
          <w:lang w:val="en-GB" w:eastAsia="en-GB"/>
        </w:rPr>
        <w:t xml:space="preserve">. </w:t>
      </w:r>
    </w:p>
    <w:p w:rsidR="00433B6E" w:rsidRPr="00E50CE1" w:rsidRDefault="00433B6E" w:rsidP="00433B6E">
      <w:pPr>
        <w:spacing w:after="200" w:line="480" w:lineRule="auto"/>
        <w:jc w:val="both"/>
        <w:rPr>
          <w:rFonts w:ascii="Times New Roman" w:eastAsia="Times New Roman" w:hAnsi="Times New Roman" w:cs="Times New Roman"/>
          <w:sz w:val="24"/>
          <w:szCs w:val="24"/>
          <w:lang w:val="en-GB" w:eastAsia="en-GB"/>
        </w:rPr>
      </w:pPr>
    </w:p>
    <w:p w:rsidR="00433B6E" w:rsidRPr="00E50CE1" w:rsidRDefault="00433B6E" w:rsidP="00433B6E">
      <w:pPr>
        <w:spacing w:after="200" w:line="480" w:lineRule="auto"/>
        <w:jc w:val="both"/>
        <w:rPr>
          <w:rFonts w:ascii="Times New Roman" w:eastAsia="Times New Roman" w:hAnsi="Times New Roman" w:cs="Times New Roman"/>
          <w:i/>
          <w:iCs/>
          <w:sz w:val="24"/>
          <w:szCs w:val="24"/>
          <w:lang w:val="en-GB" w:eastAsia="en-GB"/>
        </w:rPr>
      </w:pPr>
      <w:r w:rsidRPr="00E50CE1">
        <w:rPr>
          <w:rFonts w:ascii="Times New Roman" w:eastAsia="Times New Roman" w:hAnsi="Times New Roman" w:cs="Times New Roman"/>
          <w:i/>
          <w:iCs/>
          <w:noProof/>
          <w:sz w:val="24"/>
          <w:szCs w:val="24"/>
          <w:lang w:val="en-GB" w:eastAsia="en-GB"/>
        </w:rPr>
        <mc:AlternateContent>
          <mc:Choice Requires="wps">
            <w:drawing>
              <wp:anchor distT="0" distB="0" distL="0" distR="0" simplePos="0" relativeHeight="251661312" behindDoc="0" locked="0" layoutInCell="1" allowOverlap="1" wp14:anchorId="3F44837C" wp14:editId="42751552">
                <wp:simplePos x="0" y="0"/>
                <wp:positionH relativeFrom="page">
                  <wp:posOffset>5124450</wp:posOffset>
                </wp:positionH>
                <wp:positionV relativeFrom="line">
                  <wp:posOffset>949960</wp:posOffset>
                </wp:positionV>
                <wp:extent cx="266700" cy="254000"/>
                <wp:effectExtent l="0" t="0" r="0" b="0"/>
                <wp:wrapNone/>
                <wp:docPr id="1073741836" name="officeArt object" descr="Text Box 14"/>
                <wp:cNvGraphicFramePr/>
                <a:graphic xmlns:a="http://schemas.openxmlformats.org/drawingml/2006/main">
                  <a:graphicData uri="http://schemas.microsoft.com/office/word/2010/wordprocessingShape">
                    <wps:wsp>
                      <wps:cNvSpPr txBox="1"/>
                      <wps:spPr>
                        <a:xfrm>
                          <a:off x="0" y="0"/>
                          <a:ext cx="266700" cy="254000"/>
                        </a:xfrm>
                        <a:prstGeom prst="rect">
                          <a:avLst/>
                        </a:prstGeom>
                        <a:solidFill>
                          <a:srgbClr val="FFFFFF"/>
                        </a:solidFill>
                        <a:ln w="6350" cap="flat">
                          <a:solidFill>
                            <a:srgbClr val="000000"/>
                          </a:solidFill>
                          <a:prstDash val="solid"/>
                          <a:round/>
                        </a:ln>
                        <a:effectLst/>
                      </wps:spPr>
                      <wps:txbx>
                        <w:txbxContent>
                          <w:p w:rsidR="00433B6E" w:rsidRDefault="00433B6E" w:rsidP="00433B6E">
                            <w:proofErr w:type="gramStart"/>
                            <w:r>
                              <w:t>b</w:t>
                            </w:r>
                            <w:proofErr w:type="gramEnd"/>
                          </w:p>
                        </w:txbxContent>
                      </wps:txbx>
                      <wps:bodyPr wrap="square" lIns="45719" tIns="45719" rIns="45719" bIns="45719" numCol="1" anchor="t">
                        <a:noAutofit/>
                      </wps:bodyPr>
                    </wps:wsp>
                  </a:graphicData>
                </a:graphic>
              </wp:anchor>
            </w:drawing>
          </mc:Choice>
          <mc:Fallback>
            <w:pict>
              <v:shape w14:anchorId="3F44837C" id="_x0000_s1029" type="#_x0000_t202" alt="Text Box 14" style="position:absolute;left:0;text-align:left;margin-left:403.5pt;margin-top:74.8pt;width:21pt;height:20pt;z-index:251661312;visibility:visible;mso-wrap-style:square;mso-wrap-distance-left:0;mso-wrap-distance-top:0;mso-wrap-distance-right:0;mso-wrap-distance-bottom:0;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" strokeweight=".5pt">
                <v:stroke joinstyle="round"/>
                <v:textbox inset="1.27mm,1.27mm,1.27mm,1.27mm">
                  <w:txbxContent>
                    <w:p w:rsidR="00433B6E" w:rsidRDefault="00433B6E" w:rsidP="00433B6E">
                      <w:proofErr w:type="gramStart"/>
                      <w:r>
                        <w:t>b</w:t>
                      </w:r>
                      <w:proofErr w:type="gramEnd"/>
                    </w:p>
                  </w:txbxContent>
                </v:textbox>
                <w10:wrap anchorx="page" anchory="line"/>
              </v:shape>
            </w:pict>
          </mc:Fallback>
        </mc:AlternateContent>
      </w:r>
      <w:r w:rsidRPr="00E50CE1">
        <w:rPr>
          <w:rFonts w:ascii="Times New Roman" w:eastAsia="Times New Roman" w:hAnsi="Times New Roman" w:cs="Times New Roman"/>
          <w:i/>
          <w:iCs/>
          <w:noProof/>
          <w:sz w:val="24"/>
          <w:szCs w:val="24"/>
          <w:lang w:val="en-GB" w:eastAsia="en-GB"/>
        </w:rPr>
        <mc:AlternateContent>
          <mc:Choice Requires="wps">
            <w:drawing>
              <wp:anchor distT="0" distB="0" distL="0" distR="0" simplePos="0" relativeHeight="251660288" behindDoc="0" locked="0" layoutInCell="1" allowOverlap="1" wp14:anchorId="20BFCC7F" wp14:editId="7914F894">
                <wp:simplePos x="0" y="0"/>
                <wp:positionH relativeFrom="page">
                  <wp:posOffset>2203450</wp:posOffset>
                </wp:positionH>
                <wp:positionV relativeFrom="line">
                  <wp:posOffset>949960</wp:posOffset>
                </wp:positionV>
                <wp:extent cx="241300" cy="273050"/>
                <wp:effectExtent l="0" t="0" r="0" b="0"/>
                <wp:wrapNone/>
                <wp:docPr id="1073741837" name="officeArt object" descr="Text Box 13"/>
                <wp:cNvGraphicFramePr/>
                <a:graphic xmlns:a="http://schemas.openxmlformats.org/drawingml/2006/main">
                  <a:graphicData uri="http://schemas.microsoft.com/office/word/2010/wordprocessingShape">
                    <wps:wsp>
                      <wps:cNvSpPr txBox="1"/>
                      <wps:spPr>
                        <a:xfrm>
                          <a:off x="0" y="0"/>
                          <a:ext cx="241300" cy="273050"/>
                        </a:xfrm>
                        <a:prstGeom prst="rect">
                          <a:avLst/>
                        </a:prstGeom>
                        <a:solidFill>
                          <a:srgbClr val="FFFFFF"/>
                        </a:solidFill>
                        <a:ln w="6350" cap="flat">
                          <a:solidFill>
                            <a:srgbClr val="000000"/>
                          </a:solidFill>
                          <a:prstDash val="solid"/>
                          <a:round/>
                        </a:ln>
                        <a:effectLst/>
                      </wps:spPr>
                      <wps:txbx>
                        <w:txbxContent>
                          <w:p w:rsidR="00433B6E" w:rsidRDefault="00433B6E" w:rsidP="00433B6E">
                            <w:proofErr w:type="gramStart"/>
                            <w:r>
                              <w:t>a</w:t>
                            </w:r>
                            <w:proofErr w:type="gramEnd"/>
                          </w:p>
                        </w:txbxContent>
                      </wps:txbx>
                      <wps:bodyPr wrap="square" lIns="45719" tIns="45719" rIns="45719" bIns="45719" numCol="1" anchor="t">
                        <a:noAutofit/>
                      </wps:bodyPr>
                    </wps:wsp>
                  </a:graphicData>
                </a:graphic>
              </wp:anchor>
            </w:drawing>
          </mc:Choice>
          <mc:Fallback>
            <w:pict>
              <v:shape w14:anchorId="20BFCC7F" id="_x0000_s1030" type="#_x0000_t202" alt="Text Box 13" style="position:absolute;left:0;text-align:left;margin-left:173.5pt;margin-top:74.8pt;width:19pt;height:21.5pt;z-index:251660288;visibility:visible;mso-wrap-style:square;mso-wrap-distance-left:0;mso-wrap-distance-top:0;mso-wrap-distance-right:0;mso-wrap-distance-bottom:0;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" strokeweight=".5pt">
                <v:stroke joinstyle="round"/>
                <v:textbox inset="1.27mm,1.27mm,1.27mm,1.27mm">
                  <w:txbxContent>
                    <w:p w:rsidR="00433B6E" w:rsidRDefault="00433B6E" w:rsidP="00433B6E">
                      <w:proofErr w:type="gramStart"/>
                      <w:r>
                        <w:t>a</w:t>
                      </w:r>
                      <w:proofErr w:type="gramEnd"/>
                    </w:p>
                  </w:txbxContent>
                </v:textbox>
                <w10:wrap anchorx="page" anchory="line"/>
              </v:shape>
            </w:pict>
          </mc:Fallback>
        </mc:AlternateContent>
      </w:r>
      <w:r w:rsidRPr="00E50CE1">
        <w:rPr>
          <w:rFonts w:ascii="Times New Roman" w:eastAsia="Times New Roman" w:hAnsi="Times New Roman" w:cs="Times New Roman"/>
          <w:i/>
          <w:iCs/>
          <w:noProof/>
          <w:sz w:val="24"/>
          <w:szCs w:val="24"/>
          <w:lang w:val="en-GB" w:eastAsia="en-GB"/>
        </w:rPr>
        <w:drawing>
          <wp:inline distT="0" distB="0" distL="0" distR="0" wp14:anchorId="34913ACE" wp14:editId="4289C02F">
            <wp:extent cx="3067975" cy="1225550"/>
            <wp:effectExtent l="0" t="0" r="0" b="0"/>
            <wp:docPr id="47" name="officeArt object" descr="Axial OO.jpg"/>
            <wp:cNvGraphicFramePr/>
            <a:graphic xmlns:a="http://schemas.openxmlformats.org/drawingml/2006/main">
              <a:graphicData uri="http://schemas.openxmlformats.org/drawingml/2006/picture">
                <pic:pic xmlns:pic="http://schemas.openxmlformats.org/drawingml/2006/picture">
                  <pic:nvPicPr>
                    <pic:cNvPr id="1073741838" name="Axial OO.jpg" descr="Axial OO.jpg"/>
                    <pic:cNvPicPr>
                      <a:picLocks noChangeAspect="1"/>
                    </pic:cNvPicPr>
                  </pic:nvPicPr>
                  <pic:blipFill>
                    <a:blip r:embed="rId11"/>
                    <a:stretch>
                      <a:fillRect/>
                    </a:stretch>
                  </pic:blipFill>
                  <pic:spPr>
                    <a:xfrm>
                      <a:off x="0" y="0"/>
                      <a:ext cx="3067975" cy="1225550"/>
                    </a:xfrm>
                    <a:prstGeom prst="rect">
                      <a:avLst/>
                    </a:prstGeom>
                    <a:ln w="12700" cap="flat">
                      <a:noFill/>
                      <a:miter lim="400000"/>
                    </a:ln>
                    <a:effectLst/>
                  </pic:spPr>
                </pic:pic>
              </a:graphicData>
            </a:graphic>
          </wp:inline>
        </w:drawing>
      </w:r>
      <w:r w:rsidRPr="00E50CE1">
        <w:rPr>
          <w:rFonts w:ascii="Times New Roman" w:eastAsia="Times New Roman" w:hAnsi="Times New Roman" w:cs="Times New Roman"/>
          <w:i/>
          <w:iCs/>
          <w:noProof/>
          <w:sz w:val="24"/>
          <w:szCs w:val="24"/>
          <w:lang w:val="en-GB" w:eastAsia="en-GB"/>
        </w:rPr>
        <w:drawing>
          <wp:inline distT="0" distB="0" distL="0" distR="0" wp14:anchorId="399EB2A0" wp14:editId="18377F04">
            <wp:extent cx="2529671" cy="1215376"/>
            <wp:effectExtent l="0" t="0" r="0" b="0"/>
            <wp:docPr id="48" name="officeArt object" descr="A picture containing black, book&#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9" name="A picture containing black, book&#10;&#10;Description automatically generated" descr="A picture containing black, bookDescription automatically generated"/>
                    <pic:cNvPicPr>
                      <a:picLocks noChangeAspect="1"/>
                    </pic:cNvPicPr>
                  </pic:nvPicPr>
                  <pic:blipFill>
                    <a:blip r:embed="rId12"/>
                    <a:stretch>
                      <a:fillRect/>
                    </a:stretch>
                  </pic:blipFill>
                  <pic:spPr>
                    <a:xfrm>
                      <a:off x="0" y="0"/>
                      <a:ext cx="2529671" cy="1215376"/>
                    </a:xfrm>
                    <a:prstGeom prst="rect">
                      <a:avLst/>
                    </a:prstGeom>
                    <a:ln w="12700" cap="flat">
                      <a:noFill/>
                      <a:miter lim="400000"/>
                    </a:ln>
                    <a:effectLst/>
                  </pic:spPr>
                </pic:pic>
              </a:graphicData>
            </a:graphic>
          </wp:inline>
        </w:drawing>
      </w:r>
    </w:p>
    <w:p w:rsidR="00433B6E" w:rsidRDefault="00433B6E" w:rsidP="00433B6E">
      <w:pPr>
        <w:spacing w:after="200" w:line="240" w:lineRule="auto"/>
        <w:jc w:val="both"/>
        <w:rPr>
          <w:rFonts w:ascii="Times New Roman" w:eastAsia="Times New Roman" w:hAnsi="Times New Roman" w:cs="Times New Roman"/>
          <w:b/>
          <w:iCs/>
          <w:sz w:val="20"/>
          <w:szCs w:val="20"/>
          <w:lang w:val="en-GB" w:eastAsia="en-GB"/>
        </w:rPr>
      </w:pPr>
      <w:r w:rsidRPr="00E50CE1">
        <w:rPr>
          <w:rFonts w:ascii="Times New Roman" w:eastAsia="Times New Roman" w:hAnsi="Times New Roman" w:cs="Times New Roman"/>
          <w:b/>
          <w:sz w:val="20"/>
          <w:szCs w:val="20"/>
          <w:lang w:val="en-GB" w:eastAsia="en-GB"/>
        </w:rPr>
        <w:t xml:space="preserve">Fig 4: </w:t>
      </w:r>
      <w:r w:rsidRPr="00E50CE1">
        <w:rPr>
          <w:rFonts w:ascii="Times New Roman" w:eastAsia="Times New Roman" w:hAnsi="Times New Roman" w:cs="Times New Roman"/>
          <w:b/>
          <w:iCs/>
          <w:sz w:val="20"/>
          <w:szCs w:val="20"/>
          <w:lang w:val="en-GB" w:eastAsia="en-GB"/>
        </w:rPr>
        <w:t xml:space="preserve">Post op </w:t>
      </w:r>
      <w:proofErr w:type="gramStart"/>
      <w:r w:rsidRPr="00E50CE1">
        <w:rPr>
          <w:rFonts w:ascii="Times New Roman" w:eastAsia="Times New Roman" w:hAnsi="Times New Roman" w:cs="Times New Roman"/>
          <w:b/>
          <w:iCs/>
          <w:sz w:val="20"/>
          <w:szCs w:val="20"/>
          <w:lang w:val="en-GB" w:eastAsia="en-GB"/>
        </w:rPr>
        <w:t>Cranial</w:t>
      </w:r>
      <w:proofErr w:type="gramEnd"/>
      <w:r w:rsidRPr="00E50CE1">
        <w:rPr>
          <w:rFonts w:ascii="Times New Roman" w:eastAsia="Times New Roman" w:hAnsi="Times New Roman" w:cs="Times New Roman"/>
          <w:b/>
          <w:iCs/>
          <w:sz w:val="20"/>
          <w:szCs w:val="20"/>
          <w:lang w:val="en-GB" w:eastAsia="en-GB"/>
        </w:rPr>
        <w:t xml:space="preserve"> computerized tomography scan showing gross total tumour excision in both axial cuts (a) and coronal cuts (b). Follow up trans-</w:t>
      </w:r>
      <w:proofErr w:type="spellStart"/>
      <w:r w:rsidRPr="00E50CE1">
        <w:rPr>
          <w:rFonts w:ascii="Times New Roman" w:eastAsia="Times New Roman" w:hAnsi="Times New Roman" w:cs="Times New Roman"/>
          <w:b/>
          <w:iCs/>
          <w:sz w:val="20"/>
          <w:szCs w:val="20"/>
          <w:lang w:val="en-GB" w:eastAsia="en-GB"/>
        </w:rPr>
        <w:t>fontanelle</w:t>
      </w:r>
      <w:proofErr w:type="spellEnd"/>
      <w:r w:rsidRPr="00E50CE1">
        <w:rPr>
          <w:rFonts w:ascii="Times New Roman" w:eastAsia="Times New Roman" w:hAnsi="Times New Roman" w:cs="Times New Roman"/>
          <w:b/>
          <w:iCs/>
          <w:sz w:val="20"/>
          <w:szCs w:val="20"/>
          <w:lang w:val="en-GB" w:eastAsia="en-GB"/>
        </w:rPr>
        <w:t xml:space="preserve"> ultrasound scan showed resolution of the sub-</w:t>
      </w:r>
      <w:proofErr w:type="spellStart"/>
      <w:r w:rsidRPr="00E50CE1">
        <w:rPr>
          <w:rFonts w:ascii="Times New Roman" w:eastAsia="Times New Roman" w:hAnsi="Times New Roman" w:cs="Times New Roman"/>
          <w:b/>
          <w:iCs/>
          <w:sz w:val="20"/>
          <w:szCs w:val="20"/>
          <w:lang w:val="en-GB" w:eastAsia="en-GB"/>
        </w:rPr>
        <w:t>dural</w:t>
      </w:r>
      <w:proofErr w:type="spellEnd"/>
      <w:r w:rsidRPr="00E50CE1">
        <w:rPr>
          <w:rFonts w:ascii="Times New Roman" w:eastAsia="Times New Roman" w:hAnsi="Times New Roman" w:cs="Times New Roman"/>
          <w:b/>
          <w:iCs/>
          <w:sz w:val="20"/>
          <w:szCs w:val="20"/>
          <w:lang w:val="en-GB" w:eastAsia="en-GB"/>
        </w:rPr>
        <w:t xml:space="preserve"> collection.</w:t>
      </w:r>
    </w:p>
    <w:p w:rsidR="00433B6E" w:rsidRPr="00E50CE1" w:rsidRDefault="00433B6E" w:rsidP="00433B6E">
      <w:pPr>
        <w:spacing w:after="200" w:line="240" w:lineRule="auto"/>
        <w:jc w:val="both"/>
        <w:rPr>
          <w:rFonts w:ascii="Times New Roman" w:eastAsia="Times New Roman" w:hAnsi="Times New Roman" w:cs="Times New Roman"/>
          <w:b/>
          <w:iCs/>
          <w:sz w:val="20"/>
          <w:szCs w:val="20"/>
          <w:lang w:val="en-GB" w:eastAsia="en-GB"/>
        </w:rPr>
      </w:pPr>
    </w:p>
    <w:p w:rsidR="00433B6E" w:rsidRPr="00E50CE1" w:rsidRDefault="00433B6E" w:rsidP="00433B6E">
      <w:pPr>
        <w:spacing w:after="200" w:line="240" w:lineRule="auto"/>
        <w:jc w:val="both"/>
        <w:rPr>
          <w:rFonts w:ascii="Times New Roman" w:eastAsia="Times New Roman" w:hAnsi="Times New Roman" w:cs="Times New Roman"/>
          <w:b/>
          <w:iCs/>
          <w:sz w:val="24"/>
          <w:szCs w:val="24"/>
          <w:lang w:val="en-GB" w:eastAsia="en-GB"/>
        </w:rPr>
      </w:pPr>
    </w:p>
    <w:p w:rsidR="00433B6E" w:rsidRPr="00E50CE1" w:rsidRDefault="00433B6E" w:rsidP="00433B6E">
      <w:pPr>
        <w:spacing w:after="200" w:line="480" w:lineRule="auto"/>
        <w:jc w:val="both"/>
        <w:rPr>
          <w:rFonts w:ascii="Calibri" w:eastAsia="Times New Roman" w:hAnsi="Calibri" w:cs="Times New Roman"/>
          <w:lang w:val="en-GB" w:eastAsia="en-GB"/>
        </w:rPr>
      </w:pPr>
      <w:r w:rsidRPr="00E50CE1">
        <w:rPr>
          <w:rFonts w:ascii="Calibri" w:eastAsia="Times New Roman" w:hAnsi="Calibri" w:cs="Times New Roman"/>
          <w:noProof/>
          <w:lang w:val="en-GB" w:eastAsia="en-GB"/>
        </w:rPr>
        <w:lastRenderedPageBreak/>
        <mc:AlternateContent>
          <mc:Choice Requires="wps">
            <w:drawing>
              <wp:anchor distT="0" distB="0" distL="0" distR="0" simplePos="0" relativeHeight="251667456" behindDoc="0" locked="0" layoutInCell="1" allowOverlap="1" wp14:anchorId="24107C98" wp14:editId="27889947">
                <wp:simplePos x="0" y="0"/>
                <wp:positionH relativeFrom="column">
                  <wp:posOffset>933450</wp:posOffset>
                </wp:positionH>
                <wp:positionV relativeFrom="line">
                  <wp:posOffset>1498600</wp:posOffset>
                </wp:positionV>
                <wp:extent cx="167005" cy="69850"/>
                <wp:effectExtent l="19050" t="0" r="42545" b="25400"/>
                <wp:wrapNone/>
                <wp:docPr id="1073741840" name="officeArt object" descr="Arrow: Chevron 25"/>
                <wp:cNvGraphicFramePr/>
                <a:graphic xmlns:a="http://schemas.openxmlformats.org/drawingml/2006/main">
                  <a:graphicData uri="http://schemas.microsoft.com/office/word/2010/wordprocessingShape">
                    <wps:wsp>
                      <wps:cNvSpPr/>
                      <wps:spPr>
                        <a:xfrm>
                          <a:off x="0" y="0"/>
                          <a:ext cx="167005" cy="69850"/>
                        </a:xfrm>
                        <a:prstGeom prst="chevron">
                          <a:avLst>
                            <a:gd name="adj" fmla="val 50000"/>
                          </a:avLst>
                        </a:prstGeom>
                        <a:solidFill>
                          <a:srgbClr val="FFFF00"/>
                        </a:solidFill>
                        <a:ln w="12700" cap="flat">
                          <a:solidFill>
                            <a:srgbClr val="32538F"/>
                          </a:solidFill>
                          <a:prstDash val="solid"/>
                          <a:miter lim="800000"/>
                        </a:ln>
                        <a:effectLst/>
                      </wps:spPr>
                      <wps:bodyPr/>
                    </wps:wsp>
                  </a:graphicData>
                </a:graphic>
              </wp:anchor>
            </w:drawing>
          </mc:Choice>
          <mc:Fallback>
            <w:pict>
              <v:shape w14:anchorId="55EB82A7" id="officeArt object" o:spid="_x0000_s1026" type="#_x0000_t55" alt="Arrow: Chevron 25" style="position:absolute;margin-left:73.5pt;margin-top:118pt;width:13.15pt;height:5.5pt;z-index:251667456;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" adj="17083" fillcolor="yellow" strokecolor="#32538f" strokeweight="1pt">
                <w10:wrap anchory="line"/>
              </v:shape>
            </w:pict>
          </mc:Fallback>
        </mc:AlternateContent>
      </w:r>
      <w:r w:rsidRPr="00E50CE1">
        <w:rPr>
          <w:rFonts w:ascii="Calibri" w:eastAsia="Times New Roman" w:hAnsi="Calibri" w:cs="Times New Roman"/>
          <w:noProof/>
          <w:lang w:val="en-GB" w:eastAsia="en-GB"/>
        </w:rPr>
        <mc:AlternateContent>
          <mc:Choice Requires="wps">
            <w:drawing>
              <wp:anchor distT="0" distB="0" distL="0" distR="0" simplePos="0" relativeHeight="251668480" behindDoc="0" locked="0" layoutInCell="1" allowOverlap="1" wp14:anchorId="3E6D0C43" wp14:editId="787C4D83">
                <wp:simplePos x="0" y="0"/>
                <wp:positionH relativeFrom="column">
                  <wp:posOffset>3568700</wp:posOffset>
                </wp:positionH>
                <wp:positionV relativeFrom="line">
                  <wp:posOffset>1371600</wp:posOffset>
                </wp:positionV>
                <wp:extent cx="154305" cy="63500"/>
                <wp:effectExtent l="19050" t="0" r="36195" b="12700"/>
                <wp:wrapNone/>
                <wp:docPr id="1073741841" name="officeArt object" descr="Arrow: Chevron 26"/>
                <wp:cNvGraphicFramePr/>
                <a:graphic xmlns:a="http://schemas.openxmlformats.org/drawingml/2006/main">
                  <a:graphicData uri="http://schemas.microsoft.com/office/word/2010/wordprocessingShape">
                    <wps:wsp>
                      <wps:cNvSpPr/>
                      <wps:spPr>
                        <a:xfrm>
                          <a:off x="0" y="0"/>
                          <a:ext cx="154305" cy="63500"/>
                        </a:xfrm>
                        <a:prstGeom prst="chevron">
                          <a:avLst>
                            <a:gd name="adj" fmla="val 50000"/>
                          </a:avLst>
                        </a:prstGeom>
                        <a:solidFill>
                          <a:srgbClr val="FFFF00"/>
                        </a:solidFill>
                        <a:ln w="12700" cap="flat">
                          <a:solidFill>
                            <a:srgbClr val="32538F"/>
                          </a:solidFill>
                          <a:prstDash val="solid"/>
                          <a:miter lim="800000"/>
                        </a:ln>
                        <a:effectLst/>
                      </wps:spPr>
                      <wps:bodyPr/>
                    </wps:wsp>
                  </a:graphicData>
                </a:graphic>
              </wp:anchor>
            </w:drawing>
          </mc:Choice>
          <mc:Fallback>
            <w:pict>
              <v:shape w14:anchorId="6D973FB1" id="officeArt object" o:spid="_x0000_s1026" type="#_x0000_t55" alt="Arrow: Chevron 26" style="position:absolute;margin-left:281pt;margin-top:108pt;width:12.15pt;height:5pt;z-index:251668480;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" adj="17156" fillcolor="yellow" strokecolor="#32538f" strokeweight="1pt">
                <w10:wrap anchory="line"/>
              </v:shape>
            </w:pict>
          </mc:Fallback>
        </mc:AlternateContent>
      </w:r>
      <w:r w:rsidRPr="00E50CE1">
        <w:rPr>
          <w:rFonts w:ascii="Calibri" w:eastAsia="Times New Roman" w:hAnsi="Calibri" w:cs="Times New Roman"/>
          <w:noProof/>
          <w:lang w:val="en-GB" w:eastAsia="en-GB"/>
        </w:rPr>
        <mc:AlternateContent>
          <mc:Choice Requires="wps">
            <w:drawing>
              <wp:anchor distT="0" distB="0" distL="0" distR="0" simplePos="0" relativeHeight="251662336" behindDoc="0" locked="0" layoutInCell="1" allowOverlap="1" wp14:anchorId="53B69F5D" wp14:editId="200C8788">
                <wp:simplePos x="0" y="0"/>
                <wp:positionH relativeFrom="page">
                  <wp:posOffset>914400</wp:posOffset>
                </wp:positionH>
                <wp:positionV relativeFrom="line">
                  <wp:posOffset>1908810</wp:posOffset>
                </wp:positionV>
                <wp:extent cx="215900" cy="234950"/>
                <wp:effectExtent l="0" t="0" r="0" b="0"/>
                <wp:wrapNone/>
                <wp:docPr id="1073741842" name="officeArt object" descr="Text Box 5"/>
                <wp:cNvGraphicFramePr/>
                <a:graphic xmlns:a="http://schemas.openxmlformats.org/drawingml/2006/main">
                  <a:graphicData uri="http://schemas.microsoft.com/office/word/2010/wordprocessingShape">
                    <wps:wsp>
                      <wps:cNvSpPr txBox="1"/>
                      <wps:spPr>
                        <a:xfrm>
                          <a:off x="0" y="0"/>
                          <a:ext cx="215900" cy="234950"/>
                        </a:xfrm>
                        <a:prstGeom prst="rect">
                          <a:avLst/>
                        </a:prstGeom>
                        <a:solidFill>
                          <a:srgbClr val="FFFFFF"/>
                        </a:solidFill>
                        <a:ln w="6350" cap="flat">
                          <a:solidFill>
                            <a:srgbClr val="000000"/>
                          </a:solidFill>
                          <a:prstDash val="solid"/>
                          <a:round/>
                        </a:ln>
                        <a:effectLst/>
                      </wps:spPr>
                      <wps:txbx>
                        <w:txbxContent>
                          <w:p w:rsidR="00433B6E" w:rsidRPr="00B36FB0" w:rsidRDefault="00433B6E" w:rsidP="00433B6E">
                            <w:pPr>
                              <w:rPr>
                                <w:color w:val="FF0000"/>
                                <w:sz w:val="20"/>
                                <w:szCs w:val="20"/>
                              </w:rPr>
                            </w:pPr>
                            <w:proofErr w:type="gramStart"/>
                            <w:r w:rsidRPr="00B36FB0">
                              <w:rPr>
                                <w:rFonts w:ascii="Times New Roman" w:hAnsi="Times New Roman"/>
                                <w:b/>
                                <w:bCs/>
                                <w:color w:val="FF0000"/>
                                <w:sz w:val="20"/>
                                <w:szCs w:val="20"/>
                              </w:rPr>
                              <w:t>a</w:t>
                            </w:r>
                            <w:proofErr w:type="gramEnd"/>
                          </w:p>
                        </w:txbxContent>
                      </wps:txbx>
                      <wps:bodyPr wrap="square" lIns="45719" tIns="45719" rIns="45719" bIns="45719" numCol="1" anchor="t">
                        <a:noAutofit/>
                      </wps:bodyPr>
                    </wps:wsp>
                  </a:graphicData>
                </a:graphic>
              </wp:anchor>
            </w:drawing>
          </mc:Choice>
          <mc:Fallback>
            <w:pict>
              <v:shape w14:anchorId="53B69F5D" id="_x0000_s1031" type="#_x0000_t202" alt="Text Box 5" style="position:absolute;left:0;text-align:left;margin-left:1in;margin-top:150.3pt;width:17pt;height:18.5pt;z-index:251662336;visibility:visible;mso-wrap-style:square;mso-wrap-distance-left:0;mso-wrap-distance-top:0;mso-wrap-distance-right:0;mso-wrap-distance-bottom:0;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" strokeweight=".5pt">
                <v:stroke joinstyle="round"/>
                <v:textbox inset="1.27mm,1.27mm,1.27mm,1.27mm">
                  <w:txbxContent>
                    <w:p w:rsidR="00433B6E" w:rsidRPr="00B36FB0" w:rsidRDefault="00433B6E" w:rsidP="00433B6E">
                      <w:pPr>
                        <w:rPr>
                          <w:color w:val="FF0000"/>
                          <w:sz w:val="20"/>
                          <w:szCs w:val="20"/>
                        </w:rPr>
                      </w:pPr>
                      <w:proofErr w:type="gramStart"/>
                      <w:r w:rsidRPr="00B36FB0">
                        <w:rPr>
                          <w:rFonts w:ascii="Times New Roman" w:hAnsi="Times New Roman"/>
                          <w:b/>
                          <w:bCs/>
                          <w:color w:val="FF0000"/>
                          <w:sz w:val="20"/>
                          <w:szCs w:val="20"/>
                        </w:rPr>
                        <w:t>a</w:t>
                      </w:r>
                      <w:proofErr w:type="gramEnd"/>
                    </w:p>
                  </w:txbxContent>
                </v:textbox>
                <w10:wrap anchorx="page" anchory="line"/>
              </v:shape>
            </w:pict>
          </mc:Fallback>
        </mc:AlternateContent>
      </w:r>
      <w:r w:rsidRPr="00E50CE1">
        <w:rPr>
          <w:rFonts w:ascii="Calibri" w:eastAsia="Times New Roman" w:hAnsi="Calibri" w:cs="Times New Roman"/>
          <w:noProof/>
          <w:lang w:val="en-GB" w:eastAsia="en-GB"/>
        </w:rPr>
        <mc:AlternateContent>
          <mc:Choice Requires="wps">
            <w:drawing>
              <wp:anchor distT="0" distB="0" distL="0" distR="0" simplePos="0" relativeHeight="251664384" behindDoc="0" locked="0" layoutInCell="1" allowOverlap="1" wp14:anchorId="1BB83098" wp14:editId="042CF5F0">
                <wp:simplePos x="0" y="0"/>
                <wp:positionH relativeFrom="column">
                  <wp:posOffset>2959100</wp:posOffset>
                </wp:positionH>
                <wp:positionV relativeFrom="line">
                  <wp:posOffset>1927860</wp:posOffset>
                </wp:positionV>
                <wp:extent cx="209550" cy="241300"/>
                <wp:effectExtent l="0" t="0" r="0" b="0"/>
                <wp:wrapNone/>
                <wp:docPr id="1073741843" name="officeArt object" descr="Text Box 6"/>
                <wp:cNvGraphicFramePr/>
                <a:graphic xmlns:a="http://schemas.openxmlformats.org/drawingml/2006/main">
                  <a:graphicData uri="http://schemas.microsoft.com/office/word/2010/wordprocessingShape">
                    <wps:wsp>
                      <wps:cNvSpPr txBox="1"/>
                      <wps:spPr>
                        <a:xfrm>
                          <a:off x="0" y="0"/>
                          <a:ext cx="209550" cy="241300"/>
                        </a:xfrm>
                        <a:prstGeom prst="rect">
                          <a:avLst/>
                        </a:prstGeom>
                        <a:solidFill>
                          <a:srgbClr val="FFFFFF"/>
                        </a:solidFill>
                        <a:ln w="6350" cap="flat">
                          <a:solidFill>
                            <a:srgbClr val="000000"/>
                          </a:solidFill>
                          <a:prstDash val="solid"/>
                          <a:round/>
                        </a:ln>
                        <a:effectLst/>
                      </wps:spPr>
                      <wps:txbx>
                        <w:txbxContent>
                          <w:p w:rsidR="00433B6E" w:rsidRPr="00B36FB0" w:rsidRDefault="00433B6E" w:rsidP="00433B6E">
                            <w:pPr>
                              <w:rPr>
                                <w:color w:val="FF0000"/>
                                <w:sz w:val="20"/>
                                <w:szCs w:val="20"/>
                              </w:rPr>
                            </w:pPr>
                            <w:proofErr w:type="gramStart"/>
                            <w:r w:rsidRPr="00B36FB0">
                              <w:rPr>
                                <w:rFonts w:ascii="Times New Roman" w:hAnsi="Times New Roman"/>
                                <w:b/>
                                <w:bCs/>
                                <w:color w:val="FF0000"/>
                                <w:sz w:val="20"/>
                                <w:szCs w:val="20"/>
                              </w:rPr>
                              <w:t>b</w:t>
                            </w:r>
                            <w:proofErr w:type="gramEnd"/>
                          </w:p>
                        </w:txbxContent>
                      </wps:txbx>
                      <wps:bodyPr wrap="square" lIns="45719" tIns="45719" rIns="45719" bIns="45719" numCol="1" anchor="t">
                        <a:noAutofit/>
                      </wps:bodyPr>
                    </wps:wsp>
                  </a:graphicData>
                </a:graphic>
              </wp:anchor>
            </w:drawing>
          </mc:Choice>
          <mc:Fallback>
            <w:pict>
              <v:shape w14:anchorId="1BB83098" id="_x0000_s1032" type="#_x0000_t202" alt="Text Box 6" style="position:absolute;left:0;text-align:left;margin-left:233pt;margin-top:151.8pt;width:16.5pt;height:19pt;z-index:251664384;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" strokeweight=".5pt">
                <v:stroke joinstyle="round"/>
                <v:textbox inset="1.27mm,1.27mm,1.27mm,1.27mm">
                  <w:txbxContent>
                    <w:p w:rsidR="00433B6E" w:rsidRPr="00B36FB0" w:rsidRDefault="00433B6E" w:rsidP="00433B6E">
                      <w:pPr>
                        <w:rPr>
                          <w:color w:val="FF0000"/>
                          <w:sz w:val="20"/>
                          <w:szCs w:val="20"/>
                        </w:rPr>
                      </w:pPr>
                      <w:proofErr w:type="gramStart"/>
                      <w:r w:rsidRPr="00B36FB0">
                        <w:rPr>
                          <w:rFonts w:ascii="Times New Roman" w:hAnsi="Times New Roman"/>
                          <w:b/>
                          <w:bCs/>
                          <w:color w:val="FF0000"/>
                          <w:sz w:val="20"/>
                          <w:szCs w:val="20"/>
                        </w:rPr>
                        <w:t>b</w:t>
                      </w:r>
                      <w:proofErr w:type="gramEnd"/>
                    </w:p>
                  </w:txbxContent>
                </v:textbox>
                <w10:wrap anchory="line"/>
              </v:shape>
            </w:pict>
          </mc:Fallback>
        </mc:AlternateContent>
      </w:r>
      <w:r w:rsidRPr="00E50CE1">
        <w:rPr>
          <w:rFonts w:ascii="Calibri" w:eastAsia="Times New Roman" w:hAnsi="Calibri" w:cs="Times New Roman"/>
          <w:noProof/>
          <w:lang w:val="en-GB" w:eastAsia="en-GB"/>
        </w:rPr>
        <w:drawing>
          <wp:inline distT="0" distB="0" distL="0" distR="0" wp14:anchorId="4BE3ACF0" wp14:editId="786E483A">
            <wp:extent cx="2921000" cy="2190750"/>
            <wp:effectExtent l="0" t="0" r="0" b="0"/>
            <wp:docPr id="57" name="officeArt object"/>
            <wp:cNvGraphicFramePr/>
            <a:graphic xmlns:a="http://schemas.openxmlformats.org/drawingml/2006/main">
              <a:graphicData uri="http://schemas.openxmlformats.org/drawingml/2006/picture">
                <pic:pic xmlns:pic="http://schemas.openxmlformats.org/drawingml/2006/picture">
                  <pic:nvPicPr>
                    <pic:cNvPr id="1073741844" name="image7.png"/>
                    <pic:cNvPicPr>
                      <a:picLocks noChangeAspect="1"/>
                    </pic:cNvPicPr>
                  </pic:nvPicPr>
                  <pic:blipFill>
                    <a:blip r:embed="rId13"/>
                    <a:stretch>
                      <a:fillRect/>
                    </a:stretch>
                  </pic:blipFill>
                  <pic:spPr>
                    <a:xfrm flipH="1">
                      <a:off x="0" y="0"/>
                      <a:ext cx="2921000" cy="2190750"/>
                    </a:xfrm>
                    <a:prstGeom prst="rect">
                      <a:avLst/>
                    </a:prstGeom>
                    <a:ln w="12700" cap="flat">
                      <a:noFill/>
                      <a:miter lim="400000"/>
                    </a:ln>
                    <a:effectLst/>
                  </pic:spPr>
                </pic:pic>
              </a:graphicData>
            </a:graphic>
          </wp:inline>
        </w:drawing>
      </w:r>
      <w:r w:rsidRPr="00E50CE1">
        <w:rPr>
          <w:rFonts w:ascii="Calibri" w:eastAsia="Times New Roman" w:hAnsi="Calibri" w:cs="Times New Roman"/>
          <w:lang w:val="en-GB" w:eastAsia="en-GB"/>
        </w:rPr>
        <w:t xml:space="preserve"> </w:t>
      </w:r>
      <w:r w:rsidRPr="00E50CE1">
        <w:rPr>
          <w:rFonts w:ascii="Calibri" w:eastAsia="Times New Roman" w:hAnsi="Calibri" w:cs="Times New Roman"/>
          <w:noProof/>
          <w:lang w:val="en-GB" w:eastAsia="en-GB"/>
        </w:rPr>
        <w:drawing>
          <wp:inline distT="0" distB="0" distL="0" distR="0" wp14:anchorId="39D5DF7E" wp14:editId="5CEBB984">
            <wp:extent cx="2914650" cy="2185987"/>
            <wp:effectExtent l="0" t="0" r="0" b="0"/>
            <wp:docPr id="58" name="officeArt object"/>
            <wp:cNvGraphicFramePr/>
            <a:graphic xmlns:a="http://schemas.openxmlformats.org/drawingml/2006/main">
              <a:graphicData uri="http://schemas.openxmlformats.org/drawingml/2006/picture">
                <pic:pic xmlns:pic="http://schemas.openxmlformats.org/drawingml/2006/picture">
                  <pic:nvPicPr>
                    <pic:cNvPr id="1073741845" name="image8.png"/>
                    <pic:cNvPicPr>
                      <a:picLocks noChangeAspect="1"/>
                    </pic:cNvPicPr>
                  </pic:nvPicPr>
                  <pic:blipFill>
                    <a:blip r:embed="rId14"/>
                    <a:stretch>
                      <a:fillRect/>
                    </a:stretch>
                  </pic:blipFill>
                  <pic:spPr>
                    <a:xfrm>
                      <a:off x="0" y="0"/>
                      <a:ext cx="2914650" cy="2185987"/>
                    </a:xfrm>
                    <a:prstGeom prst="rect">
                      <a:avLst/>
                    </a:prstGeom>
                    <a:ln w="12700" cap="flat">
                      <a:noFill/>
                      <a:miter lim="400000"/>
                    </a:ln>
                    <a:effectLst/>
                  </pic:spPr>
                </pic:pic>
              </a:graphicData>
            </a:graphic>
          </wp:inline>
        </w:drawing>
      </w:r>
    </w:p>
    <w:p w:rsidR="00433B6E" w:rsidRPr="00E50CE1" w:rsidRDefault="00433B6E" w:rsidP="00433B6E">
      <w:pPr>
        <w:spacing w:after="200" w:line="480" w:lineRule="auto"/>
        <w:jc w:val="both"/>
        <w:rPr>
          <w:rFonts w:ascii="Times New Roman" w:eastAsia="Times New Roman" w:hAnsi="Times New Roman" w:cs="Times New Roman"/>
          <w:sz w:val="24"/>
          <w:szCs w:val="24"/>
          <w:lang w:val="en-GB" w:eastAsia="en-GB"/>
        </w:rPr>
      </w:pPr>
      <w:r w:rsidRPr="00E50CE1">
        <w:rPr>
          <w:rFonts w:ascii="Calibri" w:eastAsia="Times New Roman" w:hAnsi="Calibri" w:cs="Times New Roman"/>
          <w:noProof/>
          <w:lang w:val="en-GB" w:eastAsia="en-GB"/>
        </w:rPr>
        <w:lastRenderedPageBreak/>
        <mc:AlternateContent>
          <mc:Choice Requires="wps">
            <w:drawing>
              <wp:anchor distT="0" distB="0" distL="0" distR="0" simplePos="0" relativeHeight="251673600" behindDoc="0" locked="0" layoutInCell="1" allowOverlap="1" wp14:anchorId="5A38E780" wp14:editId="5415FE94">
                <wp:simplePos x="0" y="0"/>
                <wp:positionH relativeFrom="column">
                  <wp:posOffset>3670300</wp:posOffset>
                </wp:positionH>
                <wp:positionV relativeFrom="line">
                  <wp:posOffset>1607820</wp:posOffset>
                </wp:positionV>
                <wp:extent cx="241300" cy="120650"/>
                <wp:effectExtent l="12413" t="59405" r="12413" b="59405"/>
                <wp:wrapNone/>
                <wp:docPr id="1073741846" name="officeArt object" descr="Arrow: Right 30"/>
                <wp:cNvGraphicFramePr/>
                <a:graphic xmlns:a="http://schemas.openxmlformats.org/drawingml/2006/main">
                  <a:graphicData uri="http://schemas.microsoft.com/office/word/2010/wordprocessingShape">
                    <wps:wsp>
                      <wps:cNvSpPr/>
                      <wps:spPr>
                        <a:xfrm rot="2160528">
                          <a:off x="0" y="0"/>
                          <a:ext cx="241300" cy="120650"/>
                        </a:xfrm>
                        <a:prstGeom prst="rightArrow">
                          <a:avLst>
                            <a:gd name="adj1" fmla="val 50000"/>
                            <a:gd name="adj2" fmla="val 50000"/>
                          </a:avLst>
                        </a:prstGeom>
                        <a:solidFill>
                          <a:srgbClr val="FF0000"/>
                        </a:solidFill>
                        <a:ln w="12700" cap="flat">
                          <a:solidFill>
                            <a:srgbClr val="32538F"/>
                          </a:solidFill>
                          <a:prstDash val="solid"/>
                          <a:miter lim="800000"/>
                        </a:ln>
                        <a:effectLst/>
                      </wps:spPr>
                      <wps:bodyPr/>
                    </wps:wsp>
                  </a:graphicData>
                </a:graphic>
              </wp:anchor>
            </w:drawing>
          </mc:Choice>
          <mc:Fallback>
            <w:pict>
              <v:shape w14:anchorId="585660C2" id="officeArt object" o:spid="_x0000_s1026" type="#_x0000_t13" alt="Arrow: Right 30" style="position:absolute;margin-left:289pt;margin-top:126.6pt;width:19pt;height:9.5pt;rotation:2359873fd;z-index:251673600;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" fillcolor="red" strokecolor="#32538f" strokeweight="1pt">
                <w10:wrap anchory="line"/>
              </v:shape>
            </w:pict>
          </mc:Fallback>
        </mc:AlternateContent>
      </w:r>
      <w:r w:rsidRPr="00E50CE1">
        <w:rPr>
          <w:rFonts w:ascii="Calibri" w:eastAsia="Times New Roman" w:hAnsi="Calibri" w:cs="Times New Roman"/>
          <w:noProof/>
          <w:lang w:val="en-GB" w:eastAsia="en-GB"/>
        </w:rPr>
        <mc:AlternateContent>
          <mc:Choice Requires="wps">
            <w:drawing>
              <wp:anchor distT="0" distB="0" distL="0" distR="0" simplePos="0" relativeHeight="251672576" behindDoc="0" locked="0" layoutInCell="1" allowOverlap="1" wp14:anchorId="6AD44EE0" wp14:editId="6DE2E2C8">
                <wp:simplePos x="0" y="0"/>
                <wp:positionH relativeFrom="column">
                  <wp:posOffset>3505200</wp:posOffset>
                </wp:positionH>
                <wp:positionV relativeFrom="line">
                  <wp:posOffset>680719</wp:posOffset>
                </wp:positionV>
                <wp:extent cx="190500" cy="63500"/>
                <wp:effectExtent l="19050" t="0" r="38100" b="12700"/>
                <wp:wrapNone/>
                <wp:docPr id="1073741847" name="officeArt object" descr="Arrow: Chevron 29"/>
                <wp:cNvGraphicFramePr/>
                <a:graphic xmlns:a="http://schemas.openxmlformats.org/drawingml/2006/main">
                  <a:graphicData uri="http://schemas.microsoft.com/office/word/2010/wordprocessingShape">
                    <wps:wsp>
                      <wps:cNvSpPr/>
                      <wps:spPr>
                        <a:xfrm flipV="1">
                          <a:off x="0" y="0"/>
                          <a:ext cx="190500" cy="63500"/>
                        </a:xfrm>
                        <a:prstGeom prst="chevron">
                          <a:avLst>
                            <a:gd name="adj" fmla="val 50000"/>
                          </a:avLst>
                        </a:prstGeom>
                        <a:solidFill>
                          <a:srgbClr val="FFFF00"/>
                        </a:solidFill>
                        <a:ln w="12700" cap="flat">
                          <a:solidFill>
                            <a:srgbClr val="32538F"/>
                          </a:solidFill>
                          <a:prstDash val="solid"/>
                          <a:miter lim="800000"/>
                        </a:ln>
                        <a:effectLst/>
                      </wps:spPr>
                      <wps:bodyPr/>
                    </wps:wsp>
                  </a:graphicData>
                </a:graphic>
              </wp:anchor>
            </w:drawing>
          </mc:Choice>
          <mc:Fallback>
            <w:pict>
              <v:shape w14:anchorId="47B04068" id="officeArt object" o:spid="_x0000_s1026" type="#_x0000_t55" alt="Arrow: Chevron 29" style="position:absolute;margin-left:276pt;margin-top:53.6pt;width:15pt;height:5pt;flip:y;z-index:251672576;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" adj="18000" fillcolor="yellow" strokecolor="#32538f" strokeweight="1pt">
                <w10:wrap anchory="line"/>
              </v:shape>
            </w:pict>
          </mc:Fallback>
        </mc:AlternateContent>
      </w:r>
      <w:r w:rsidRPr="00E50CE1">
        <w:rPr>
          <w:rFonts w:ascii="Calibri" w:eastAsia="Times New Roman" w:hAnsi="Calibri" w:cs="Times New Roman"/>
          <w:noProof/>
          <w:lang w:val="en-GB" w:eastAsia="en-GB"/>
        </w:rPr>
        <mc:AlternateContent>
          <mc:Choice Requires="wps">
            <w:drawing>
              <wp:anchor distT="0" distB="0" distL="0" distR="0" simplePos="0" relativeHeight="251671552" behindDoc="0" locked="0" layoutInCell="1" allowOverlap="1" wp14:anchorId="3422F2CA" wp14:editId="3BC90B05">
                <wp:simplePos x="0" y="0"/>
                <wp:positionH relativeFrom="column">
                  <wp:posOffset>1066800</wp:posOffset>
                </wp:positionH>
                <wp:positionV relativeFrom="line">
                  <wp:posOffset>1360170</wp:posOffset>
                </wp:positionV>
                <wp:extent cx="167005" cy="69850"/>
                <wp:effectExtent l="19050" t="0" r="42545" b="25400"/>
                <wp:wrapNone/>
                <wp:docPr id="1073741848" name="officeArt object" descr="Arrow: Chevron 28"/>
                <wp:cNvGraphicFramePr/>
                <a:graphic xmlns:a="http://schemas.openxmlformats.org/drawingml/2006/main">
                  <a:graphicData uri="http://schemas.microsoft.com/office/word/2010/wordprocessingShape">
                    <wps:wsp>
                      <wps:cNvSpPr/>
                      <wps:spPr>
                        <a:xfrm>
                          <a:off x="0" y="0"/>
                          <a:ext cx="167005" cy="69850"/>
                        </a:xfrm>
                        <a:prstGeom prst="chevron">
                          <a:avLst>
                            <a:gd name="adj" fmla="val 50000"/>
                          </a:avLst>
                        </a:prstGeom>
                        <a:solidFill>
                          <a:srgbClr val="FFFF00"/>
                        </a:solidFill>
                        <a:ln w="12700" cap="flat">
                          <a:solidFill>
                            <a:srgbClr val="32538F"/>
                          </a:solidFill>
                          <a:prstDash val="solid"/>
                          <a:miter lim="800000"/>
                        </a:ln>
                        <a:effectLst/>
                      </wps:spPr>
                      <wps:bodyPr/>
                    </wps:wsp>
                  </a:graphicData>
                </a:graphic>
              </wp:anchor>
            </w:drawing>
          </mc:Choice>
          <mc:Fallback>
            <w:pict>
              <v:shape w14:anchorId="629B3C69" id="officeArt object" o:spid="_x0000_s1026" type="#_x0000_t55" alt="Arrow: Chevron 28" style="position:absolute;margin-left:84pt;margin-top:107.1pt;width:13.15pt;height:5.5pt;z-index:251671552;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" adj="17083" fillcolor="yellow" strokecolor="#32538f" strokeweight="1pt">
                <w10:wrap anchory="line"/>
              </v:shape>
            </w:pict>
          </mc:Fallback>
        </mc:AlternateContent>
      </w:r>
      <w:r w:rsidRPr="00E50CE1">
        <w:rPr>
          <w:rFonts w:ascii="Calibri" w:eastAsia="Times New Roman" w:hAnsi="Calibri" w:cs="Times New Roman"/>
          <w:noProof/>
          <w:lang w:val="en-GB" w:eastAsia="en-GB"/>
        </w:rPr>
        <mc:AlternateContent>
          <mc:Choice Requires="wps">
            <w:drawing>
              <wp:anchor distT="0" distB="0" distL="0" distR="0" simplePos="0" relativeHeight="251670528" behindDoc="0" locked="0" layoutInCell="1" allowOverlap="1" wp14:anchorId="2AB89E47" wp14:editId="079CCD02">
                <wp:simplePos x="0" y="0"/>
                <wp:positionH relativeFrom="column">
                  <wp:posOffset>482600</wp:posOffset>
                </wp:positionH>
                <wp:positionV relativeFrom="line">
                  <wp:posOffset>858519</wp:posOffset>
                </wp:positionV>
                <wp:extent cx="241300" cy="120650"/>
                <wp:effectExtent l="12413" t="59405" r="12413" b="59405"/>
                <wp:wrapNone/>
                <wp:docPr id="1073741849" name="officeArt object" descr="Arrow: Right 27"/>
                <wp:cNvGraphicFramePr/>
                <a:graphic xmlns:a="http://schemas.openxmlformats.org/drawingml/2006/main">
                  <a:graphicData uri="http://schemas.microsoft.com/office/word/2010/wordprocessingShape">
                    <wps:wsp>
                      <wps:cNvSpPr/>
                      <wps:spPr>
                        <a:xfrm rot="2160528">
                          <a:off x="0" y="0"/>
                          <a:ext cx="241300" cy="120650"/>
                        </a:xfrm>
                        <a:prstGeom prst="rightArrow">
                          <a:avLst>
                            <a:gd name="adj1" fmla="val 50000"/>
                            <a:gd name="adj2" fmla="val 50000"/>
                          </a:avLst>
                        </a:prstGeom>
                        <a:solidFill>
                          <a:srgbClr val="FF0000"/>
                        </a:solidFill>
                        <a:ln w="12700" cap="flat">
                          <a:solidFill>
                            <a:srgbClr val="32538F"/>
                          </a:solidFill>
                          <a:prstDash val="solid"/>
                          <a:miter lim="800000"/>
                        </a:ln>
                        <a:effectLst/>
                      </wps:spPr>
                      <wps:bodyPr/>
                    </wps:wsp>
                  </a:graphicData>
                </a:graphic>
              </wp:anchor>
            </w:drawing>
          </mc:Choice>
          <mc:Fallback>
            <w:pict>
              <v:shape w14:anchorId="0BE88B9F" id="officeArt object" o:spid="_x0000_s1026" type="#_x0000_t13" alt="Arrow: Right 27" style="position:absolute;margin-left:38pt;margin-top:67.6pt;width:19pt;height:9.5pt;rotation:2359873fd;z-index:251670528;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" fillcolor="red" strokecolor="#32538f" strokeweight="1pt">
                <w10:wrap anchory="line"/>
              </v:shape>
            </w:pict>
          </mc:Fallback>
        </mc:AlternateContent>
      </w:r>
      <w:r w:rsidRPr="00E50CE1">
        <w:rPr>
          <w:rFonts w:ascii="Calibri" w:eastAsia="Times New Roman" w:hAnsi="Calibri" w:cs="Times New Roman"/>
          <w:noProof/>
          <w:lang w:val="en-GB" w:eastAsia="en-GB"/>
        </w:rPr>
        <mc:AlternateContent>
          <mc:Choice Requires="wps">
            <w:drawing>
              <wp:anchor distT="0" distB="0" distL="0" distR="0" simplePos="0" relativeHeight="251666432" behindDoc="0" locked="0" layoutInCell="1" allowOverlap="1" wp14:anchorId="25717695" wp14:editId="0CDEF618">
                <wp:simplePos x="0" y="0"/>
                <wp:positionH relativeFrom="column">
                  <wp:posOffset>2978150</wp:posOffset>
                </wp:positionH>
                <wp:positionV relativeFrom="line">
                  <wp:posOffset>1941830</wp:posOffset>
                </wp:positionV>
                <wp:extent cx="209550" cy="223110"/>
                <wp:effectExtent l="0" t="0" r="0" b="0"/>
                <wp:wrapNone/>
                <wp:docPr id="1073741850" name="officeArt object" descr="Text Box 8"/>
                <wp:cNvGraphicFramePr/>
                <a:graphic xmlns:a="http://schemas.openxmlformats.org/drawingml/2006/main">
                  <a:graphicData uri="http://schemas.microsoft.com/office/word/2010/wordprocessingShape">
                    <wps:wsp>
                      <wps:cNvSpPr txBox="1"/>
                      <wps:spPr>
                        <a:xfrm>
                          <a:off x="0" y="0"/>
                          <a:ext cx="209550" cy="223110"/>
                        </a:xfrm>
                        <a:prstGeom prst="rect">
                          <a:avLst/>
                        </a:prstGeom>
                        <a:solidFill>
                          <a:srgbClr val="FFFFFF"/>
                        </a:solidFill>
                        <a:ln w="6350" cap="flat">
                          <a:solidFill>
                            <a:srgbClr val="000000"/>
                          </a:solidFill>
                          <a:prstDash val="solid"/>
                          <a:round/>
                        </a:ln>
                        <a:effectLst/>
                      </wps:spPr>
                      <wps:txbx>
                        <w:txbxContent>
                          <w:p w:rsidR="00433B6E" w:rsidRPr="00B36FB0" w:rsidRDefault="00433B6E" w:rsidP="00433B6E">
                            <w:pPr>
                              <w:rPr>
                                <w:color w:val="FF0000"/>
                              </w:rPr>
                            </w:pPr>
                            <w:proofErr w:type="gramStart"/>
                            <w:r w:rsidRPr="00B36FB0">
                              <w:rPr>
                                <w:color w:val="FF0000"/>
                              </w:rPr>
                              <w:t>d</w:t>
                            </w:r>
                            <w:proofErr w:type="gramEnd"/>
                          </w:p>
                        </w:txbxContent>
                      </wps:txbx>
                      <wps:bodyPr wrap="square" lIns="45719" tIns="45719" rIns="45719" bIns="45719" numCol="1" anchor="t">
                        <a:noAutofit/>
                      </wps:bodyPr>
                    </wps:wsp>
                  </a:graphicData>
                </a:graphic>
              </wp:anchor>
            </w:drawing>
          </mc:Choice>
          <mc:Fallback>
            <w:pict>
              <v:shape w14:anchorId="25717695" id="_x0000_s1033" type="#_x0000_t202" alt="Text Box 8" style="position:absolute;left:0;text-align:left;margin-left:234.5pt;margin-top:152.9pt;width:16.5pt;height:17.55pt;z-index:251666432;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" strokeweight=".5pt">
                <v:stroke joinstyle="round"/>
                <v:textbox inset="1.27mm,1.27mm,1.27mm,1.27mm">
                  <w:txbxContent>
                    <w:p w:rsidR="00433B6E" w:rsidRPr="00B36FB0" w:rsidRDefault="00433B6E" w:rsidP="00433B6E">
                      <w:pPr>
                        <w:rPr>
                          <w:color w:val="FF0000"/>
                        </w:rPr>
                      </w:pPr>
                      <w:proofErr w:type="gramStart"/>
                      <w:r w:rsidRPr="00B36FB0">
                        <w:rPr>
                          <w:color w:val="FF0000"/>
                        </w:rPr>
                        <w:t>d</w:t>
                      </w:r>
                      <w:proofErr w:type="gramEnd"/>
                    </w:p>
                  </w:txbxContent>
                </v:textbox>
                <w10:wrap anchory="line"/>
              </v:shape>
            </w:pict>
          </mc:Fallback>
        </mc:AlternateContent>
      </w:r>
      <w:r w:rsidRPr="00E50CE1">
        <w:rPr>
          <w:rFonts w:ascii="Calibri" w:eastAsia="Times New Roman" w:hAnsi="Calibri" w:cs="Times New Roman"/>
          <w:noProof/>
          <w:lang w:val="en-GB" w:eastAsia="en-GB"/>
        </w:rPr>
        <mc:AlternateContent>
          <mc:Choice Requires="wps">
            <w:drawing>
              <wp:anchor distT="0" distB="0" distL="0" distR="0" simplePos="0" relativeHeight="251665408" behindDoc="0" locked="0" layoutInCell="1" allowOverlap="1" wp14:anchorId="6093A087" wp14:editId="1A824286">
                <wp:simplePos x="0" y="0"/>
                <wp:positionH relativeFrom="column">
                  <wp:posOffset>50800</wp:posOffset>
                </wp:positionH>
                <wp:positionV relativeFrom="line">
                  <wp:posOffset>1903730</wp:posOffset>
                </wp:positionV>
                <wp:extent cx="260350" cy="234950"/>
                <wp:effectExtent l="0" t="0" r="0" b="0"/>
                <wp:wrapNone/>
                <wp:docPr id="1073741851" name="officeArt object" descr="Text Box 7"/>
                <wp:cNvGraphicFramePr/>
                <a:graphic xmlns:a="http://schemas.openxmlformats.org/drawingml/2006/main">
                  <a:graphicData uri="http://schemas.microsoft.com/office/word/2010/wordprocessingShape">
                    <wps:wsp>
                      <wps:cNvSpPr txBox="1"/>
                      <wps:spPr>
                        <a:xfrm>
                          <a:off x="0" y="0"/>
                          <a:ext cx="260350" cy="234950"/>
                        </a:xfrm>
                        <a:prstGeom prst="rect">
                          <a:avLst/>
                        </a:prstGeom>
                        <a:solidFill>
                          <a:srgbClr val="FFFFFF"/>
                        </a:solidFill>
                        <a:ln w="6350" cap="flat">
                          <a:solidFill>
                            <a:srgbClr val="000000"/>
                          </a:solidFill>
                          <a:prstDash val="solid"/>
                          <a:round/>
                        </a:ln>
                        <a:effectLst/>
                      </wps:spPr>
                      <wps:txbx>
                        <w:txbxContent>
                          <w:p w:rsidR="00433B6E" w:rsidRPr="00B36FB0" w:rsidRDefault="00433B6E" w:rsidP="00433B6E">
                            <w:pPr>
                              <w:rPr>
                                <w:color w:val="FF0000"/>
                                <w:sz w:val="20"/>
                                <w:szCs w:val="20"/>
                              </w:rPr>
                            </w:pPr>
                            <w:proofErr w:type="gramStart"/>
                            <w:r w:rsidRPr="00B36FB0">
                              <w:rPr>
                                <w:rFonts w:ascii="Times New Roman" w:hAnsi="Times New Roman"/>
                                <w:b/>
                                <w:bCs/>
                                <w:color w:val="FF0000"/>
                                <w:sz w:val="20"/>
                                <w:szCs w:val="20"/>
                              </w:rPr>
                              <w:t>c</w:t>
                            </w:r>
                            <w:proofErr w:type="gramEnd"/>
                          </w:p>
                        </w:txbxContent>
                      </wps:txbx>
                      <wps:bodyPr wrap="square" lIns="45719" tIns="45719" rIns="45719" bIns="45719" numCol="1" anchor="t">
                        <a:noAutofit/>
                      </wps:bodyPr>
                    </wps:wsp>
                  </a:graphicData>
                </a:graphic>
              </wp:anchor>
            </w:drawing>
          </mc:Choice>
          <mc:Fallback>
            <w:pict>
              <v:shape w14:anchorId="6093A087" id="_x0000_s1034" type="#_x0000_t202" alt="Text Box 7" style="position:absolute;left:0;text-align:left;margin-left:4pt;margin-top:149.9pt;width:20.5pt;height:18.5pt;z-index:251665408;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" strokeweight=".5pt">
                <v:stroke joinstyle="round"/>
                <v:textbox inset="1.27mm,1.27mm,1.27mm,1.27mm">
                  <w:txbxContent>
                    <w:p w:rsidR="00433B6E" w:rsidRPr="00B36FB0" w:rsidRDefault="00433B6E" w:rsidP="00433B6E">
                      <w:pPr>
                        <w:rPr>
                          <w:color w:val="FF0000"/>
                          <w:sz w:val="20"/>
                          <w:szCs w:val="20"/>
                        </w:rPr>
                      </w:pPr>
                      <w:proofErr w:type="gramStart"/>
                      <w:r w:rsidRPr="00B36FB0">
                        <w:rPr>
                          <w:rFonts w:ascii="Times New Roman" w:hAnsi="Times New Roman"/>
                          <w:b/>
                          <w:bCs/>
                          <w:color w:val="FF0000"/>
                          <w:sz w:val="20"/>
                          <w:szCs w:val="20"/>
                        </w:rPr>
                        <w:t>c</w:t>
                      </w:r>
                      <w:proofErr w:type="gramEnd"/>
                    </w:p>
                  </w:txbxContent>
                </v:textbox>
                <w10:wrap anchory="line"/>
              </v:shape>
            </w:pict>
          </mc:Fallback>
        </mc:AlternateContent>
      </w:r>
      <w:r w:rsidRPr="00E50CE1">
        <w:rPr>
          <w:rFonts w:ascii="Calibri" w:eastAsia="Times New Roman" w:hAnsi="Calibri" w:cs="Times New Roman"/>
          <w:noProof/>
          <w:lang w:val="en-GB" w:eastAsia="en-GB"/>
        </w:rPr>
        <w:drawing>
          <wp:inline distT="0" distB="0" distL="0" distR="0" wp14:anchorId="123EBC3D" wp14:editId="0BC8346C">
            <wp:extent cx="2908300" cy="2181225"/>
            <wp:effectExtent l="0" t="0" r="0" b="0"/>
            <wp:docPr id="59" name="officeArt object"/>
            <wp:cNvGraphicFramePr/>
            <a:graphic xmlns:a="http://schemas.openxmlformats.org/drawingml/2006/main">
              <a:graphicData uri="http://schemas.openxmlformats.org/drawingml/2006/picture">
                <pic:pic xmlns:pic="http://schemas.openxmlformats.org/drawingml/2006/picture">
                  <pic:nvPicPr>
                    <pic:cNvPr id="1073741852" name="image9.png"/>
                    <pic:cNvPicPr>
                      <a:picLocks noChangeAspect="1"/>
                    </pic:cNvPicPr>
                  </pic:nvPicPr>
                  <pic:blipFill>
                    <a:blip r:embed="rId15"/>
                    <a:stretch>
                      <a:fillRect/>
                    </a:stretch>
                  </pic:blipFill>
                  <pic:spPr>
                    <a:xfrm>
                      <a:off x="0" y="0"/>
                      <a:ext cx="2908300" cy="2181225"/>
                    </a:xfrm>
                    <a:prstGeom prst="rect">
                      <a:avLst/>
                    </a:prstGeom>
                    <a:ln w="12700" cap="flat">
                      <a:noFill/>
                      <a:miter lim="400000"/>
                    </a:ln>
                    <a:effectLst/>
                  </pic:spPr>
                </pic:pic>
              </a:graphicData>
            </a:graphic>
          </wp:inline>
        </w:drawing>
      </w:r>
      <w:r w:rsidRPr="00E50CE1">
        <w:rPr>
          <w:rFonts w:ascii="Calibri" w:eastAsia="Times New Roman" w:hAnsi="Calibri" w:cs="Times New Roman"/>
          <w:lang w:val="en-GB" w:eastAsia="en-GB"/>
        </w:rPr>
        <w:t xml:space="preserve"> </w:t>
      </w:r>
      <w:r w:rsidRPr="00E50CE1">
        <w:rPr>
          <w:rFonts w:ascii="Times New Roman" w:eastAsia="Arial Unicode MS" w:hAnsi="Times New Roman" w:cs="Times New Roman"/>
          <w:noProof/>
          <w:sz w:val="24"/>
          <w:szCs w:val="24"/>
          <w:bdr w:val="nil"/>
          <w:lang w:val="en-GB" w:eastAsia="en-GB"/>
        </w:rPr>
        <w:drawing>
          <wp:inline distT="0" distB="0" distL="0" distR="0" wp14:anchorId="1A8FD8EC" wp14:editId="1B81865E">
            <wp:extent cx="2921000" cy="2190751"/>
            <wp:effectExtent l="0" t="0" r="0" b="0"/>
            <wp:docPr id="60" name="officeArt object"/>
            <wp:cNvGraphicFramePr/>
            <a:graphic xmlns:a="http://schemas.openxmlformats.org/drawingml/2006/main">
              <a:graphicData uri="http://schemas.openxmlformats.org/drawingml/2006/picture">
                <pic:pic xmlns:pic="http://schemas.openxmlformats.org/drawingml/2006/picture">
                  <pic:nvPicPr>
                    <pic:cNvPr id="1073741853" name="image10.png"/>
                    <pic:cNvPicPr>
                      <a:picLocks noChangeAspect="1"/>
                    </pic:cNvPicPr>
                  </pic:nvPicPr>
                  <pic:blipFill>
                    <a:blip r:embed="rId16"/>
                    <a:stretch>
                      <a:fillRect/>
                    </a:stretch>
                  </pic:blipFill>
                  <pic:spPr>
                    <a:xfrm>
                      <a:off x="0" y="0"/>
                      <a:ext cx="2921000" cy="2190751"/>
                    </a:xfrm>
                    <a:prstGeom prst="rect">
                      <a:avLst/>
                    </a:prstGeom>
                    <a:ln w="12700" cap="flat">
                      <a:noFill/>
                      <a:miter lim="400000"/>
                    </a:ln>
                    <a:effectLst/>
                  </pic:spPr>
                </pic:pic>
              </a:graphicData>
            </a:graphic>
          </wp:inline>
        </w:drawing>
      </w:r>
    </w:p>
    <w:p w:rsidR="00433B6E" w:rsidRPr="00E50CE1" w:rsidRDefault="00433B6E" w:rsidP="00433B6E">
      <w:pPr>
        <w:spacing w:after="200" w:line="240" w:lineRule="auto"/>
        <w:jc w:val="both"/>
        <w:rPr>
          <w:rFonts w:ascii="Times New Roman" w:eastAsia="Times New Roman" w:hAnsi="Times New Roman" w:cs="Times New Roman"/>
          <w:b/>
          <w:iCs/>
          <w:sz w:val="20"/>
          <w:szCs w:val="20"/>
          <w:lang w:val="en-GB" w:eastAsia="en-GB"/>
        </w:rPr>
      </w:pPr>
      <w:r w:rsidRPr="00E50CE1">
        <w:rPr>
          <w:rFonts w:ascii="Times New Roman" w:eastAsia="Times New Roman" w:hAnsi="Times New Roman" w:cs="Times New Roman"/>
          <w:b/>
          <w:iCs/>
          <w:sz w:val="20"/>
          <w:szCs w:val="20"/>
          <w:lang w:val="en-GB" w:eastAsia="en-GB"/>
        </w:rPr>
        <w:t xml:space="preserve">Figure 5: (a) and (b) show the </w:t>
      </w:r>
      <w:proofErr w:type="spellStart"/>
      <w:r w:rsidRPr="00E50CE1">
        <w:rPr>
          <w:rFonts w:ascii="Times New Roman" w:eastAsia="Times New Roman" w:hAnsi="Times New Roman" w:cs="Times New Roman"/>
          <w:b/>
          <w:iCs/>
          <w:sz w:val="20"/>
          <w:szCs w:val="20"/>
          <w:lang w:val="en-GB" w:eastAsia="en-GB"/>
        </w:rPr>
        <w:t>fibrovascular</w:t>
      </w:r>
      <w:proofErr w:type="spellEnd"/>
      <w:r w:rsidRPr="00E50CE1">
        <w:rPr>
          <w:rFonts w:ascii="Times New Roman" w:eastAsia="Times New Roman" w:hAnsi="Times New Roman" w:cs="Times New Roman"/>
          <w:b/>
          <w:iCs/>
          <w:sz w:val="20"/>
          <w:szCs w:val="20"/>
          <w:lang w:val="en-GB" w:eastAsia="en-GB"/>
        </w:rPr>
        <w:t xml:space="preserve"> core designated by the red arrowhead (H&amp;E X40). (c)Shows the papillary fronds designated with the red arrows and the </w:t>
      </w:r>
      <w:proofErr w:type="spellStart"/>
      <w:r w:rsidRPr="00E50CE1">
        <w:rPr>
          <w:rFonts w:ascii="Times New Roman" w:eastAsia="Times New Roman" w:hAnsi="Times New Roman" w:cs="Times New Roman"/>
          <w:b/>
          <w:iCs/>
          <w:sz w:val="20"/>
          <w:szCs w:val="20"/>
          <w:lang w:val="en-GB" w:eastAsia="en-GB"/>
        </w:rPr>
        <w:t>fibrovascular</w:t>
      </w:r>
      <w:proofErr w:type="spellEnd"/>
      <w:r w:rsidRPr="00E50CE1">
        <w:rPr>
          <w:rFonts w:ascii="Times New Roman" w:eastAsia="Times New Roman" w:hAnsi="Times New Roman" w:cs="Times New Roman"/>
          <w:b/>
          <w:iCs/>
          <w:sz w:val="20"/>
          <w:szCs w:val="20"/>
          <w:lang w:val="en-GB" w:eastAsia="en-GB"/>
        </w:rPr>
        <w:t xml:space="preserve"> cores designated by red arrow heads (H&amp;E X100). (d) </w:t>
      </w:r>
      <w:proofErr w:type="spellStart"/>
      <w:r w:rsidRPr="00E50CE1">
        <w:rPr>
          <w:rFonts w:ascii="Times New Roman" w:eastAsia="Times New Roman" w:hAnsi="Times New Roman" w:cs="Times New Roman"/>
          <w:b/>
          <w:iCs/>
          <w:sz w:val="20"/>
          <w:szCs w:val="20"/>
          <w:lang w:val="en-GB" w:eastAsia="en-GB"/>
        </w:rPr>
        <w:t>Hyperchromatic</w:t>
      </w:r>
      <w:proofErr w:type="spellEnd"/>
      <w:r w:rsidRPr="00E50CE1">
        <w:rPr>
          <w:rFonts w:ascii="Times New Roman" w:eastAsia="Times New Roman" w:hAnsi="Times New Roman" w:cs="Times New Roman"/>
          <w:b/>
          <w:iCs/>
          <w:sz w:val="20"/>
          <w:szCs w:val="20"/>
          <w:lang w:val="en-GB" w:eastAsia="en-GB"/>
        </w:rPr>
        <w:t xml:space="preserve"> and pleomorphic nuclei designated with the yellow arrowheads, vesicular nuclei designated with the red arrows and </w:t>
      </w:r>
      <w:proofErr w:type="spellStart"/>
      <w:r w:rsidRPr="00E50CE1">
        <w:rPr>
          <w:rFonts w:ascii="Times New Roman" w:eastAsia="Times New Roman" w:hAnsi="Times New Roman" w:cs="Times New Roman"/>
          <w:b/>
          <w:iCs/>
          <w:sz w:val="20"/>
          <w:szCs w:val="20"/>
          <w:lang w:val="en-GB" w:eastAsia="en-GB"/>
        </w:rPr>
        <w:t>fibrovascular</w:t>
      </w:r>
      <w:proofErr w:type="spellEnd"/>
      <w:r w:rsidRPr="00E50CE1">
        <w:rPr>
          <w:rFonts w:ascii="Times New Roman" w:eastAsia="Times New Roman" w:hAnsi="Times New Roman" w:cs="Times New Roman"/>
          <w:b/>
          <w:iCs/>
          <w:sz w:val="20"/>
          <w:szCs w:val="20"/>
          <w:lang w:val="en-GB" w:eastAsia="en-GB"/>
        </w:rPr>
        <w:t xml:space="preserve"> core is prominent (H&amp;E X400)</w:t>
      </w:r>
    </w:p>
    <w:p w:rsidR="00433B6E" w:rsidRPr="00E50CE1" w:rsidRDefault="00433B6E" w:rsidP="00433B6E">
      <w:pPr>
        <w:spacing w:after="200" w:line="240" w:lineRule="auto"/>
        <w:jc w:val="both"/>
        <w:rPr>
          <w:rFonts w:ascii="Calibri" w:eastAsia="Times New Roman" w:hAnsi="Calibri" w:cs="Times New Roman"/>
          <w:lang w:val="en-GB" w:eastAsia="en-GB"/>
        </w:rPr>
      </w:pPr>
    </w:p>
    <w:p w:rsidR="00433B6E" w:rsidRDefault="00433B6E" w:rsidP="00433B6E">
      <w:pPr>
        <w:spacing w:after="0" w:line="360" w:lineRule="auto"/>
        <w:ind w:right="20"/>
        <w:jc w:val="center"/>
        <w:rPr>
          <w:rFonts w:ascii="Times New Roman" w:eastAsia="Arial" w:hAnsi="Times New Roman" w:cs="Times New Roman"/>
          <w:b/>
          <w:sz w:val="24"/>
          <w:szCs w:val="24"/>
          <w:lang w:val="en-GB" w:eastAsia="en-GB"/>
        </w:rPr>
      </w:pPr>
    </w:p>
    <w:p w:rsidR="00433B6E" w:rsidRDefault="00433B6E" w:rsidP="00433B6E">
      <w:pPr>
        <w:spacing w:after="0" w:line="360" w:lineRule="auto"/>
        <w:ind w:right="20"/>
        <w:jc w:val="center"/>
        <w:rPr>
          <w:rFonts w:ascii="Times New Roman" w:eastAsia="Arial" w:hAnsi="Times New Roman" w:cs="Times New Roman"/>
          <w:b/>
          <w:sz w:val="24"/>
          <w:szCs w:val="24"/>
          <w:lang w:val="en-GB" w:eastAsia="en-GB"/>
        </w:rPr>
      </w:pPr>
    </w:p>
    <w:p w:rsidR="00433B6E" w:rsidRDefault="00433B6E" w:rsidP="00433B6E">
      <w:pPr>
        <w:spacing w:after="0" w:line="360" w:lineRule="auto"/>
        <w:ind w:right="20"/>
        <w:jc w:val="center"/>
        <w:rPr>
          <w:rFonts w:ascii="Times New Roman" w:eastAsia="Arial" w:hAnsi="Times New Roman" w:cs="Times New Roman"/>
          <w:b/>
          <w:sz w:val="24"/>
          <w:szCs w:val="24"/>
          <w:lang w:val="en-GB" w:eastAsia="en-GB"/>
        </w:rPr>
      </w:pPr>
    </w:p>
    <w:p w:rsidR="00433B6E" w:rsidRDefault="00433B6E" w:rsidP="00433B6E">
      <w:pPr>
        <w:spacing w:after="0" w:line="360" w:lineRule="auto"/>
        <w:ind w:right="20"/>
        <w:jc w:val="center"/>
        <w:rPr>
          <w:rFonts w:ascii="Times New Roman" w:eastAsia="Arial" w:hAnsi="Times New Roman" w:cs="Times New Roman"/>
          <w:b/>
          <w:sz w:val="24"/>
          <w:szCs w:val="24"/>
          <w:lang w:val="en-GB" w:eastAsia="en-GB"/>
        </w:rPr>
      </w:pPr>
    </w:p>
    <w:p w:rsidR="00433B6E" w:rsidRDefault="00433B6E" w:rsidP="00433B6E">
      <w:pPr>
        <w:spacing w:after="0" w:line="360" w:lineRule="auto"/>
        <w:ind w:right="20"/>
        <w:jc w:val="center"/>
        <w:rPr>
          <w:rFonts w:ascii="Times New Roman" w:eastAsia="Arial" w:hAnsi="Times New Roman" w:cs="Times New Roman"/>
          <w:b/>
          <w:sz w:val="24"/>
          <w:szCs w:val="24"/>
          <w:lang w:val="en-GB" w:eastAsia="en-GB"/>
        </w:rPr>
      </w:pPr>
    </w:p>
    <w:p w:rsidR="00433B6E" w:rsidRDefault="00433B6E" w:rsidP="00433B6E">
      <w:pPr>
        <w:spacing w:after="0" w:line="360" w:lineRule="auto"/>
        <w:ind w:right="20"/>
        <w:jc w:val="center"/>
        <w:rPr>
          <w:rFonts w:ascii="Times New Roman" w:eastAsia="Arial" w:hAnsi="Times New Roman" w:cs="Times New Roman"/>
          <w:b/>
          <w:sz w:val="24"/>
          <w:szCs w:val="24"/>
          <w:lang w:val="en-GB" w:eastAsia="en-GB"/>
        </w:rPr>
      </w:pPr>
    </w:p>
    <w:p w:rsidR="00433B6E" w:rsidRDefault="00433B6E" w:rsidP="00433B6E">
      <w:pPr>
        <w:spacing w:after="0" w:line="360" w:lineRule="auto"/>
        <w:ind w:right="20"/>
        <w:jc w:val="center"/>
        <w:rPr>
          <w:rFonts w:ascii="Times New Roman" w:eastAsia="Arial" w:hAnsi="Times New Roman" w:cs="Times New Roman"/>
          <w:b/>
          <w:sz w:val="24"/>
          <w:szCs w:val="24"/>
          <w:lang w:val="en-GB" w:eastAsia="en-GB"/>
        </w:rPr>
      </w:pPr>
    </w:p>
    <w:p w:rsidR="009A0103" w:rsidRPr="00433B6E" w:rsidRDefault="009A0103" w:rsidP="00433B6E"/>
    <w:sectPr w:rsidR="009A0103" w:rsidRPr="00433B6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F218C"/>
    <w:multiLevelType w:val="hybridMultilevel"/>
    <w:tmpl w:val="B950E6A4"/>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
    <w:nsid w:val="28795F87"/>
    <w:multiLevelType w:val="hybridMultilevel"/>
    <w:tmpl w:val="8020C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8AD3D09"/>
    <w:multiLevelType w:val="hybridMultilevel"/>
    <w:tmpl w:val="B1964C92"/>
    <w:lvl w:ilvl="0" w:tplc="E676DC30">
      <w:start w:val="1"/>
      <w:numFmt w:val="decimal"/>
      <w:lvlText w:val="%1."/>
      <w:lvlJc w:val="left"/>
      <w:pPr>
        <w:ind w:left="720" w:hanging="360"/>
      </w:pPr>
      <w:rPr>
        <w:rFonts w:hint="default"/>
        <w:strike w:val="0"/>
        <w:color w:val="auto"/>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nsid w:val="402F1763"/>
    <w:multiLevelType w:val="hybridMultilevel"/>
    <w:tmpl w:val="24961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2106E59"/>
    <w:multiLevelType w:val="hybridMultilevel"/>
    <w:tmpl w:val="5E6CECFA"/>
    <w:lvl w:ilvl="0" w:tplc="D0784B52">
      <w:start w:val="1"/>
      <w:numFmt w:val="decimal"/>
      <w:lvlText w:val="%1."/>
      <w:lvlJc w:val="left"/>
      <w:pPr>
        <w:ind w:left="1070" w:hanging="360"/>
      </w:pPr>
      <w:rPr>
        <w:rFonts w:eastAsia="Times New Roman"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577E506D"/>
    <w:multiLevelType w:val="hybridMultilevel"/>
    <w:tmpl w:val="A57ACF26"/>
    <w:lvl w:ilvl="0" w:tplc="65FA88B2">
      <w:start w:val="17"/>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F8127CC"/>
    <w:multiLevelType w:val="hybridMultilevel"/>
    <w:tmpl w:val="0B647C9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78F407A9"/>
    <w:multiLevelType w:val="hybridMultilevel"/>
    <w:tmpl w:val="05468E96"/>
    <w:lvl w:ilvl="0" w:tplc="0409000F">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2"/>
  </w:num>
  <w:num w:numId="4">
    <w:abstractNumId w:val="1"/>
  </w:num>
  <w:num w:numId="5">
    <w:abstractNumId w:val="0"/>
  </w:num>
  <w:num w:numId="6">
    <w:abstractNumId w:val="7"/>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A85"/>
    <w:rsid w:val="00010E29"/>
    <w:rsid w:val="001F3A9E"/>
    <w:rsid w:val="00333329"/>
    <w:rsid w:val="00433B6E"/>
    <w:rsid w:val="00515138"/>
    <w:rsid w:val="00585D9C"/>
    <w:rsid w:val="00616A85"/>
    <w:rsid w:val="0072244C"/>
    <w:rsid w:val="007B4B75"/>
    <w:rsid w:val="00860D28"/>
    <w:rsid w:val="009A0103"/>
    <w:rsid w:val="00A3324B"/>
    <w:rsid w:val="00B63BC8"/>
    <w:rsid w:val="00B865F3"/>
    <w:rsid w:val="00E03F05"/>
    <w:rsid w:val="00F676BE"/>
    <w:rsid w:val="00F774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2B9F366-AD54-4B8C-B3A4-785BC8E33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3B6E"/>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616A85"/>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616A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010E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
    <w:name w:val="Plain Table 41"/>
    <w:basedOn w:val="TableNormal"/>
    <w:uiPriority w:val="44"/>
    <w:rsid w:val="00A3324B"/>
    <w:pPr>
      <w:spacing w:after="0" w:line="240" w:lineRule="auto"/>
    </w:pPr>
    <w:rPr>
      <w:lang w:val="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5">
    <w:name w:val="Table Grid5"/>
    <w:basedOn w:val="TableNormal"/>
    <w:next w:val="TableGrid"/>
    <w:uiPriority w:val="39"/>
    <w:rsid w:val="00A332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B63BC8"/>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hyperlink" Target="mailto:Jamesabalogun@gmail.com" TargetMode="Externa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20254</Words>
  <Characters>115454</Characters>
  <Application>Microsoft Office Word</Application>
  <DocSecurity>0</DocSecurity>
  <Lines>962</Lines>
  <Paragraphs>270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Oluyomi</dc:creator>
  <cp:keywords/>
  <dc:description/>
  <cp:lastModifiedBy>Debbie Oluyomi</cp:lastModifiedBy>
  <cp:revision>3</cp:revision>
  <dcterms:created xsi:type="dcterms:W3CDTF">2020-11-01T00:44:00Z</dcterms:created>
  <dcterms:modified xsi:type="dcterms:W3CDTF">2020-11-01T00:45:00Z</dcterms:modified>
</cp:coreProperties>
</file>