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2D5" w:rsidRPr="00B0704C" w:rsidRDefault="00D562D5" w:rsidP="00D562D5">
      <w:pPr>
        <w:spacing w:line="360" w:lineRule="auto"/>
        <w:rPr>
          <w:rFonts w:ascii="Times New Roman" w:eastAsia="Calibri" w:hAnsi="Times New Roman" w:cs="Times New Roman"/>
          <w:b/>
          <w:sz w:val="28"/>
          <w:szCs w:val="28"/>
          <w:lang w:val="fr-FR"/>
        </w:rPr>
      </w:pPr>
      <w:r w:rsidRPr="00B0704C">
        <w:rPr>
          <w:rFonts w:ascii="Times New Roman" w:eastAsia="Calibri" w:hAnsi="Times New Roman" w:cs="Times New Roman"/>
          <w:b/>
          <w:sz w:val="28"/>
          <w:szCs w:val="28"/>
          <w:lang w:val="fr-FR"/>
        </w:rPr>
        <w:t>LITHIASE VESICALE GEANTE ET TUMEUR DE VESSIE : UNE RARE ASSOCIATION CO-MORBIDE</w:t>
      </w:r>
    </w:p>
    <w:p w:rsidR="00D562D5" w:rsidRPr="00B0704C" w:rsidRDefault="00D562D5" w:rsidP="00D562D5">
      <w:pPr>
        <w:spacing w:after="160" w:line="259" w:lineRule="auto"/>
        <w:rPr>
          <w:rFonts w:ascii="Times New Roman" w:eastAsia="Calibri" w:hAnsi="Times New Roman" w:cs="Times New Roman"/>
          <w:b/>
          <w:sz w:val="24"/>
          <w:szCs w:val="24"/>
        </w:rPr>
      </w:pPr>
      <w:r w:rsidRPr="00B0704C">
        <w:rPr>
          <w:rFonts w:ascii="Times New Roman" w:eastAsia="Calibri" w:hAnsi="Times New Roman" w:cs="Times New Roman"/>
          <w:b/>
          <w:sz w:val="24"/>
          <w:szCs w:val="24"/>
        </w:rPr>
        <w:t>Kirakoya B</w:t>
      </w:r>
      <w:r w:rsidRPr="00B0704C">
        <w:rPr>
          <w:rFonts w:ascii="Times New Roman" w:eastAsia="Calibri" w:hAnsi="Times New Roman" w:cs="Times New Roman"/>
          <w:b/>
          <w:sz w:val="24"/>
          <w:szCs w:val="24"/>
          <w:vertAlign w:val="superscript"/>
        </w:rPr>
        <w:t>1</w:t>
      </w:r>
      <w:r w:rsidRPr="00B0704C">
        <w:rPr>
          <w:rFonts w:ascii="Times New Roman" w:eastAsia="Calibri" w:hAnsi="Times New Roman" w:cs="Times New Roman"/>
          <w:b/>
          <w:sz w:val="24"/>
          <w:szCs w:val="24"/>
        </w:rPr>
        <w:t>*, Kabore M</w:t>
      </w:r>
      <w:r w:rsidRPr="00B0704C">
        <w:rPr>
          <w:rFonts w:ascii="Times New Roman" w:eastAsia="Calibri" w:hAnsi="Times New Roman" w:cs="Times New Roman"/>
          <w:b/>
          <w:sz w:val="24"/>
          <w:szCs w:val="24"/>
          <w:vertAlign w:val="superscript"/>
        </w:rPr>
        <w:t>1</w:t>
      </w:r>
      <w:r w:rsidRPr="00B0704C">
        <w:rPr>
          <w:rFonts w:ascii="Times New Roman" w:eastAsia="Calibri" w:hAnsi="Times New Roman" w:cs="Times New Roman"/>
          <w:b/>
          <w:sz w:val="24"/>
          <w:szCs w:val="24"/>
        </w:rPr>
        <w:t>, Pare AK</w:t>
      </w:r>
      <w:r w:rsidRPr="00B0704C">
        <w:rPr>
          <w:rFonts w:ascii="Times New Roman" w:eastAsia="Calibri" w:hAnsi="Times New Roman" w:cs="Times New Roman"/>
          <w:b/>
          <w:sz w:val="24"/>
          <w:szCs w:val="24"/>
          <w:vertAlign w:val="superscript"/>
        </w:rPr>
        <w:t>2</w:t>
      </w:r>
      <w:r w:rsidRPr="00B0704C">
        <w:rPr>
          <w:rFonts w:ascii="Times New Roman" w:eastAsia="Calibri" w:hAnsi="Times New Roman" w:cs="Times New Roman"/>
          <w:b/>
          <w:sz w:val="24"/>
          <w:szCs w:val="24"/>
        </w:rPr>
        <w:t>, Abubakar BM</w:t>
      </w:r>
      <w:r w:rsidRPr="00B0704C">
        <w:rPr>
          <w:rFonts w:ascii="Times New Roman" w:eastAsia="Calibri" w:hAnsi="Times New Roman" w:cs="Times New Roman"/>
          <w:b/>
          <w:sz w:val="24"/>
          <w:szCs w:val="24"/>
          <w:vertAlign w:val="superscript"/>
        </w:rPr>
        <w:t>3</w:t>
      </w:r>
      <w:r w:rsidRPr="00B0704C">
        <w:rPr>
          <w:rFonts w:ascii="Times New Roman" w:eastAsia="Calibri" w:hAnsi="Times New Roman" w:cs="Times New Roman"/>
          <w:b/>
          <w:sz w:val="24"/>
          <w:szCs w:val="24"/>
        </w:rPr>
        <w:t xml:space="preserve">, </w:t>
      </w:r>
    </w:p>
    <w:p w:rsidR="00D562D5" w:rsidRPr="00B0704C" w:rsidRDefault="00D562D5" w:rsidP="00D562D5">
      <w:pPr>
        <w:shd w:val="clear" w:color="auto" w:fill="F8F9FA"/>
        <w:spacing w:after="0" w:line="480" w:lineRule="auto"/>
        <w:rPr>
          <w:rFonts w:ascii="Times New Roman" w:eastAsia="Times New Roman" w:hAnsi="Times New Roman" w:cs="Times New Roman"/>
          <w:color w:val="222222"/>
          <w:sz w:val="24"/>
          <w:szCs w:val="24"/>
          <w:lang w:eastAsia="en-GB"/>
        </w:rPr>
      </w:pPr>
      <w:r w:rsidRPr="00B0704C">
        <w:rPr>
          <w:rFonts w:ascii="Times New Roman" w:eastAsia="Calibri" w:hAnsi="Times New Roman" w:cs="Times New Roman"/>
          <w:sz w:val="24"/>
          <w:szCs w:val="24"/>
          <w:vertAlign w:val="superscript"/>
        </w:rPr>
        <w:t>1</w:t>
      </w:r>
      <w:r w:rsidRPr="00B0704C">
        <w:rPr>
          <w:rFonts w:ascii="Times New Roman" w:eastAsia="Times New Roman" w:hAnsi="Times New Roman" w:cs="Times New Roman"/>
          <w:color w:val="222222"/>
          <w:sz w:val="24"/>
          <w:szCs w:val="24"/>
          <w:lang w:val="fr-FR" w:eastAsia="en-GB"/>
        </w:rPr>
        <w:t xml:space="preserve">Département d'Urologie, </w:t>
      </w:r>
      <w:r w:rsidRPr="00B0704C">
        <w:rPr>
          <w:rFonts w:ascii="Times New Roman" w:eastAsia="Calibri" w:hAnsi="Times New Roman" w:cs="Times New Roman"/>
          <w:sz w:val="24"/>
          <w:szCs w:val="24"/>
        </w:rPr>
        <w:t xml:space="preserve">CHU Yalgado Ouedraogo, Ouagadougou, Burkina Faso. </w:t>
      </w:r>
    </w:p>
    <w:p w:rsidR="00D562D5" w:rsidRPr="00B0704C" w:rsidRDefault="00D562D5" w:rsidP="00D562D5">
      <w:pPr>
        <w:spacing w:after="160" w:line="480" w:lineRule="auto"/>
        <w:rPr>
          <w:rFonts w:ascii="Times New Roman" w:eastAsia="Calibri" w:hAnsi="Times New Roman" w:cs="Times New Roman"/>
          <w:sz w:val="24"/>
          <w:szCs w:val="24"/>
        </w:rPr>
      </w:pPr>
      <w:r w:rsidRPr="00B0704C">
        <w:rPr>
          <w:rFonts w:ascii="Times New Roman" w:eastAsia="Calibri" w:hAnsi="Times New Roman" w:cs="Times New Roman"/>
          <w:sz w:val="24"/>
          <w:szCs w:val="24"/>
          <w:vertAlign w:val="superscript"/>
        </w:rPr>
        <w:t>2</w:t>
      </w:r>
      <w:r w:rsidRPr="00B0704C">
        <w:rPr>
          <w:rFonts w:ascii="Times New Roman" w:eastAsia="Calibri" w:hAnsi="Times New Roman" w:cs="Times New Roman"/>
          <w:sz w:val="24"/>
          <w:szCs w:val="24"/>
          <w:lang w:val="fr-FR"/>
        </w:rPr>
        <w:t>Département d'Urologie</w:t>
      </w:r>
      <w:r w:rsidRPr="00B0704C">
        <w:rPr>
          <w:rFonts w:ascii="Times New Roman" w:eastAsia="Calibri" w:hAnsi="Times New Roman" w:cs="Times New Roman"/>
          <w:sz w:val="24"/>
          <w:szCs w:val="24"/>
        </w:rPr>
        <w:t xml:space="preserve">, CHU Sourou Sanou, Bobo Dioulasso, Burkina Faso. </w:t>
      </w:r>
    </w:p>
    <w:p w:rsidR="00D562D5" w:rsidRPr="00B0704C" w:rsidRDefault="00D562D5" w:rsidP="00D562D5">
      <w:pPr>
        <w:spacing w:after="160" w:line="480" w:lineRule="auto"/>
        <w:rPr>
          <w:rFonts w:ascii="Times New Roman" w:eastAsia="Calibri" w:hAnsi="Times New Roman" w:cs="Times New Roman"/>
          <w:sz w:val="24"/>
          <w:szCs w:val="24"/>
        </w:rPr>
      </w:pPr>
      <w:r w:rsidRPr="00B0704C">
        <w:rPr>
          <w:rFonts w:ascii="Times New Roman" w:eastAsia="Calibri" w:hAnsi="Times New Roman" w:cs="Times New Roman"/>
          <w:sz w:val="24"/>
          <w:szCs w:val="24"/>
          <w:vertAlign w:val="superscript"/>
        </w:rPr>
        <w:t>3</w:t>
      </w:r>
      <w:r w:rsidRPr="00B0704C">
        <w:rPr>
          <w:rFonts w:ascii="Times New Roman" w:eastAsia="Calibri" w:hAnsi="Times New Roman" w:cs="Times New Roman"/>
          <w:sz w:val="24"/>
          <w:szCs w:val="24"/>
          <w:lang w:val="fr-FR"/>
        </w:rPr>
        <w:t>Département de Chirurgie</w:t>
      </w:r>
      <w:r w:rsidRPr="00B0704C">
        <w:rPr>
          <w:rFonts w:ascii="Times New Roman" w:eastAsia="Calibri" w:hAnsi="Times New Roman" w:cs="Times New Roman"/>
          <w:sz w:val="24"/>
          <w:szCs w:val="24"/>
        </w:rPr>
        <w:t xml:space="preserve">, </w:t>
      </w:r>
      <w:r w:rsidRPr="00B0704C">
        <w:rPr>
          <w:rFonts w:ascii="Times New Roman" w:eastAsia="Calibri" w:hAnsi="Times New Roman" w:cs="Times New Roman"/>
          <w:sz w:val="24"/>
          <w:szCs w:val="24"/>
          <w:lang w:val="fr-FR"/>
        </w:rPr>
        <w:t>Centre Médical Fédéral</w:t>
      </w:r>
      <w:r w:rsidRPr="00B0704C">
        <w:rPr>
          <w:rFonts w:ascii="Times New Roman" w:eastAsia="Calibri" w:hAnsi="Times New Roman" w:cs="Times New Roman"/>
          <w:sz w:val="24"/>
          <w:szCs w:val="24"/>
        </w:rPr>
        <w:t xml:space="preserve">, Nguru, Yobe State. Nigeria. </w:t>
      </w:r>
    </w:p>
    <w:p w:rsidR="00D562D5" w:rsidRPr="00B0704C" w:rsidRDefault="00D562D5" w:rsidP="00D562D5">
      <w:pPr>
        <w:spacing w:after="160" w:line="480" w:lineRule="auto"/>
        <w:rPr>
          <w:rFonts w:ascii="Times New Roman" w:eastAsia="Calibri" w:hAnsi="Times New Roman" w:cs="Times New Roman"/>
          <w:sz w:val="24"/>
          <w:szCs w:val="24"/>
        </w:rPr>
      </w:pPr>
      <w:r w:rsidRPr="00B0704C">
        <w:rPr>
          <w:rFonts w:ascii="Times New Roman" w:eastAsia="Calibri" w:hAnsi="Times New Roman" w:cs="Times New Roman"/>
          <w:sz w:val="24"/>
          <w:szCs w:val="24"/>
        </w:rPr>
        <w:t xml:space="preserve">*Auteur Correspondant: Brahima KIRAKOYA,   E.mail: </w:t>
      </w:r>
      <w:hyperlink r:id="rId7" w:history="1">
        <w:r w:rsidRPr="00B0704C">
          <w:rPr>
            <w:rFonts w:ascii="Times New Roman" w:eastAsia="Calibri" w:hAnsi="Times New Roman" w:cs="Times New Roman"/>
            <w:color w:val="0563C1"/>
            <w:sz w:val="24"/>
            <w:szCs w:val="24"/>
            <w:u w:val="single"/>
          </w:rPr>
          <w:t>kobrahi@yahoo.fr</w:t>
        </w:r>
      </w:hyperlink>
      <w:r w:rsidRPr="00B0704C">
        <w:rPr>
          <w:rFonts w:ascii="Times New Roman" w:eastAsia="Calibri" w:hAnsi="Times New Roman" w:cs="Times New Roman"/>
          <w:sz w:val="24"/>
          <w:szCs w:val="24"/>
        </w:rPr>
        <w:t xml:space="preserve"> </w:t>
      </w: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rPr>
          <w:rFonts w:ascii="Times New Roman" w:eastAsia="Calibri" w:hAnsi="Times New Roman" w:cs="Times New Roman"/>
          <w:sz w:val="24"/>
          <w:szCs w:val="24"/>
          <w:lang w:val="fr-FR"/>
        </w:rPr>
      </w:pPr>
    </w:p>
    <w:p w:rsidR="00D562D5" w:rsidRPr="00B0704C" w:rsidRDefault="00D562D5" w:rsidP="00D562D5">
      <w:pPr>
        <w:spacing w:after="160" w:line="480" w:lineRule="auto"/>
        <w:jc w:val="both"/>
        <w:rPr>
          <w:rFonts w:ascii="Times New Roman" w:eastAsia="Calibri" w:hAnsi="Times New Roman" w:cs="Times New Roman"/>
          <w:b/>
          <w:bCs/>
          <w:sz w:val="24"/>
          <w:szCs w:val="24"/>
          <w:lang w:val="fr-FR"/>
        </w:rPr>
      </w:pPr>
      <w:r w:rsidRPr="00B0704C">
        <w:rPr>
          <w:rFonts w:ascii="Times New Roman" w:eastAsia="Calibri" w:hAnsi="Times New Roman" w:cs="Times New Roman"/>
          <w:b/>
          <w:bCs/>
          <w:sz w:val="24"/>
          <w:szCs w:val="24"/>
          <w:lang w:val="fr-FR"/>
        </w:rPr>
        <w:lastRenderedPageBreak/>
        <w:t>RÉSUMÉ</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Le calcul de la vessie est un facteur favorisant dans la survenue des cancers de la vessie. L’association concomitante d’une macro lithiase et d’une tumeur de la vessie est rare. Nous rapportons le cas d’une macro lithiase associée à une tumeur de vessie. Cette dernière a été découverte de façon fortuite. Cette association souligne la nécessité d’une biopsie vésicale pour étude histologique lors de la cystolithotomie. </w:t>
      </w:r>
    </w:p>
    <w:p w:rsidR="00D562D5" w:rsidRDefault="00D562D5" w:rsidP="00D562D5">
      <w:pPr>
        <w:spacing w:after="0" w:line="480" w:lineRule="auto"/>
        <w:jc w:val="both"/>
        <w:rPr>
          <w:rFonts w:ascii="Times New Roman" w:eastAsia="Calibri" w:hAnsi="Times New Roman" w:cs="Times New Roman"/>
          <w:sz w:val="24"/>
          <w:szCs w:val="24"/>
          <w:lang w:val="fr-FR"/>
        </w:rPr>
      </w:pPr>
    </w:p>
    <w:p w:rsidR="00D562D5" w:rsidRPr="00630A84" w:rsidRDefault="00D562D5" w:rsidP="00D562D5">
      <w:pPr>
        <w:pBdr>
          <w:top w:val="nil"/>
          <w:left w:val="nil"/>
          <w:bottom w:val="nil"/>
          <w:right w:val="nil"/>
          <w:between w:val="nil"/>
          <w:bar w:val="nil"/>
        </w:pBdr>
        <w:spacing w:line="480" w:lineRule="auto"/>
        <w:jc w:val="both"/>
        <w:outlineLvl w:val="0"/>
        <w:rPr>
          <w:rFonts w:ascii="Times New Roman" w:eastAsia="Calibri" w:hAnsi="Times New Roman" w:cs="Calibri"/>
          <w:bCs/>
          <w:color w:val="000000"/>
          <w:sz w:val="24"/>
          <w:szCs w:val="24"/>
          <w:u w:color="000000"/>
          <w:bdr w:val="nil"/>
        </w:rPr>
      </w:pPr>
      <w:r w:rsidRPr="00630A84">
        <w:rPr>
          <w:rFonts w:ascii="Times New Roman" w:eastAsia="Calibri" w:hAnsi="Times New Roman" w:cs="Times New Roman"/>
          <w:b/>
          <w:sz w:val="24"/>
          <w:szCs w:val="24"/>
          <w:lang w:val="fr-FR"/>
        </w:rPr>
        <w:t>Mots clés</w:t>
      </w:r>
      <w:r>
        <w:rPr>
          <w:rFonts w:ascii="Times New Roman" w:eastAsia="Calibri" w:hAnsi="Times New Roman" w:cs="Times New Roman"/>
          <w:sz w:val="24"/>
          <w:szCs w:val="24"/>
          <w:lang w:val="fr-FR"/>
        </w:rPr>
        <w:t xml:space="preserve">: </w:t>
      </w:r>
      <w:r>
        <w:rPr>
          <w:rFonts w:ascii="Times New Roman" w:eastAsia="Calibri" w:hAnsi="Times New Roman" w:cs="Calibri"/>
          <w:bCs/>
          <w:color w:val="000000"/>
          <w:sz w:val="24"/>
          <w:szCs w:val="24"/>
          <w:u w:color="000000"/>
          <w:bdr w:val="nil"/>
          <w:lang w:val="en-US"/>
        </w:rPr>
        <w:t>Vessie</w:t>
      </w:r>
      <w:r w:rsidRPr="00FD03F3">
        <w:rPr>
          <w:rFonts w:ascii="Times New Roman" w:eastAsia="Calibri" w:hAnsi="Times New Roman" w:cs="Calibri"/>
          <w:bCs/>
          <w:color w:val="000000"/>
          <w:sz w:val="24"/>
          <w:szCs w:val="24"/>
          <w:u w:color="000000"/>
          <w:bdr w:val="nil"/>
          <w:lang w:val="en-US"/>
        </w:rPr>
        <w:t xml:space="preserve">, </w:t>
      </w:r>
      <w:r>
        <w:rPr>
          <w:rFonts w:ascii="Times New Roman" w:eastAsia="Calibri" w:hAnsi="Times New Roman" w:cs="Calibri"/>
          <w:bCs/>
          <w:color w:val="000000"/>
          <w:sz w:val="24"/>
          <w:szCs w:val="24"/>
          <w:u w:color="000000"/>
          <w:bdr w:val="nil"/>
          <w:lang w:val="en-US"/>
        </w:rPr>
        <w:t xml:space="preserve">lithiase </w:t>
      </w:r>
      <w:r w:rsidRPr="00630A84">
        <w:rPr>
          <w:rFonts w:ascii="Times New Roman" w:eastAsia="Calibri" w:hAnsi="Times New Roman" w:cs="Calibri"/>
          <w:bCs/>
          <w:color w:val="000000"/>
          <w:sz w:val="24"/>
          <w:szCs w:val="24"/>
          <w:u w:color="000000"/>
          <w:bdr w:val="nil"/>
          <w:lang w:val="fr-FR"/>
        </w:rPr>
        <w:t>géant</w:t>
      </w:r>
      <w:r>
        <w:rPr>
          <w:rFonts w:ascii="Times New Roman" w:eastAsia="Calibri" w:hAnsi="Times New Roman" w:cs="Calibri"/>
          <w:bCs/>
          <w:color w:val="000000"/>
          <w:sz w:val="24"/>
          <w:szCs w:val="24"/>
          <w:u w:color="000000"/>
          <w:bdr w:val="nil"/>
        </w:rPr>
        <w:t xml:space="preserve">, </w:t>
      </w:r>
      <w:r>
        <w:rPr>
          <w:rFonts w:ascii="Times New Roman" w:eastAsia="Calibri" w:hAnsi="Times New Roman" w:cs="Calibri"/>
          <w:bCs/>
          <w:color w:val="000000"/>
          <w:sz w:val="24"/>
          <w:szCs w:val="24"/>
          <w:u w:color="000000"/>
          <w:bdr w:val="nil"/>
          <w:lang w:val="en-US"/>
        </w:rPr>
        <w:t>cystolithotomie, c</w:t>
      </w:r>
      <w:r w:rsidRPr="00FD03F3">
        <w:rPr>
          <w:rFonts w:ascii="Times New Roman" w:eastAsia="Calibri" w:hAnsi="Times New Roman" w:cs="Calibri"/>
          <w:bCs/>
          <w:color w:val="000000"/>
          <w:sz w:val="24"/>
          <w:szCs w:val="24"/>
          <w:u w:color="000000"/>
          <w:bdr w:val="nil"/>
          <w:lang w:val="en-US"/>
        </w:rPr>
        <w:t>ancer</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r w:rsidRPr="00B0704C">
        <w:rPr>
          <w:rFonts w:ascii="Times New Roman" w:eastAsia="Calibri" w:hAnsi="Times New Roman" w:cs="Times New Roman"/>
          <w:b/>
          <w:sz w:val="24"/>
          <w:szCs w:val="24"/>
          <w:lang w:val="fr-FR"/>
        </w:rPr>
        <w:t>Introduction</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La lithiase urinaire est une pathologie très fréquente en urologie. Elle est à l’origine  de 12,52% des consultations en urologie au Burkina Faso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&lt;EndNote&gt;&lt;Cite&gt;&lt;Author&gt;Kabore&lt;/Author&gt;&lt;Year&gt;2013&lt;/Year&gt;&lt;RecNum&gt;19&lt;/RecNum&gt;&lt;DisplayText&gt;[1]&lt;/DisplayText&gt;&lt;record&gt;&lt;rec-number&gt;19&lt;/rec-number&gt;&lt;foreign-keys&gt;&lt;key app="EN" db-id="2aaeaz0wtsdssue0svn5wztaeveaxdde0zvf"&gt;19&lt;/key&gt;&lt;/foreign-keys&gt;&lt;ref-type name="Journal Article"&gt;17&lt;/ref-type&gt;&lt;contributors&gt;&lt;authors&gt;&lt;author&gt;Kabore, F. A.&lt;/author&gt;&lt;author&gt;Kambou, T.&lt;/author&gt;&lt;author&gt;Zango, B.&lt;/author&gt;&lt;author&gt;Ouattara, A.&lt;/author&gt;&lt;author&gt;Simpore, M.&lt;/author&gt;&lt;author&gt;Lougue-Sorgho, C.&lt;/author&gt;&lt;author&gt;Lechevalier, E.&lt;/author&gt;&lt;author&gt;Karsenty, G.&lt;/author&gt;&lt;/authors&gt;&lt;/contributors&gt;&lt;titles&gt;&lt;title&gt;[Epidemiology of a cohort of 450 urolithiasis at the Yalgado Ouedraogo university hospital of Ouagadougou (Burkina Faso)]&lt;/title&gt;&lt;secondary-title&gt;Prog Urol&lt;/secondary-title&gt;&lt;/titles&gt;&lt;periodical&gt;&lt;full-title&gt;Prog Urol&lt;/full-title&gt;&lt;/periodical&gt;&lt;pages&gt;971-6&lt;/pages&gt;&lt;volume&gt;23&lt;/volume&gt;&lt;number&gt;12&lt;/number&gt;&lt;edition&gt;2013/11/15&lt;/edition&gt;&lt;keywords&gt;&lt;keyword&gt;Adult&lt;/keyword&gt;&lt;keyword&gt;Burkina Faso&lt;/keyword&gt;&lt;keyword&gt;Female&lt;/keyword&gt;&lt;keyword&gt;Hospitals, University&lt;/keyword&gt;&lt;keyword&gt;Humans&lt;/keyword&gt;&lt;keyword&gt;Male&lt;/keyword&gt;&lt;keyword&gt;Middle Aged&lt;/keyword&gt;&lt;keyword&gt;Retrospective Studies&lt;/keyword&gt;&lt;keyword&gt;Urolithiasis/diagnosis/ epidemiology&lt;/keyword&gt;&lt;keyword&gt;Young Adult&lt;/keyword&gt;&lt;/keywords&gt;&lt;dates&gt;&lt;year&gt;2013&lt;/year&gt;&lt;pub-dates&gt;&lt;date&gt;Oct&lt;/date&gt;&lt;/pub-dates&gt;&lt;/dates&gt;&lt;orig-pub&gt;Epidemiologie d&amp;apos;une cohorte de 450 lithiasesurinaires au CHU Yalgado Ouedraogo deOuagadougou (Burkina Faso).&lt;/orig-pub&gt;&lt;isbn&gt;1166-7087 (Print)&amp;#xD;1166-7087 (Linking)&lt;/isbn&gt;&lt;accession-num&gt;24224198&lt;/accession-num&gt;&lt;urls&gt;&lt;/urls&gt;&lt;remote-database-provider&gt;Nlm&lt;/remote-database-provider&gt;&lt;language&gt;fre&lt;/language&gt;&lt;/record&gt;&lt;/Cite&gt;&lt;/EndNote&gt;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1" w:tooltip="Kabore, 2013 #19" w:history="1">
        <w:r w:rsidRPr="00B0704C">
          <w:rPr>
            <w:rFonts w:ascii="Times New Roman" w:eastAsia="Calibri" w:hAnsi="Times New Roman" w:cs="Times New Roman"/>
            <w:noProof/>
            <w:sz w:val="24"/>
            <w:szCs w:val="24"/>
            <w:lang w:val="fr-FR"/>
          </w:rPr>
          <w:t>1</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La lithiase vésicale considérée comme la maladie lithiasique des milieux défavorisés représente près 12%  de la pathologie lithiasique de l’adulte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&lt;EndNote&gt;&lt;Cite&gt;&lt;Author&gt;Kabore&lt;/Author&gt;&lt;Year&gt;2013&lt;/Year&gt;&lt;RecNum&gt;19&lt;/RecNum&gt;&lt;DisplayText&gt;[1]&lt;/DisplayText&gt;&lt;record&gt;&lt;rec-number&gt;19&lt;/rec-number&gt;&lt;foreign-keys&gt;&lt;key app="EN" db-id="2aaeaz0wtsdssue0svn5wztaeveaxdde0zvf"&gt;19&lt;/key&gt;&lt;/foreign-keys&gt;&lt;ref-type name="Journal Article"&gt;17&lt;/ref-type&gt;&lt;contributors&gt;&lt;authors&gt;&lt;author&gt;Kabore, F. A.&lt;/author&gt;&lt;author&gt;Kambou, T.&lt;/author&gt;&lt;author&gt;Zango, B.&lt;/author&gt;&lt;author&gt;Ouattara, A.&lt;/author&gt;&lt;author&gt;Simpore, M.&lt;/author&gt;&lt;author&gt;Lougue-Sorgho, C.&lt;/author&gt;&lt;author&gt;Lechevalier, E.&lt;/author&gt;&lt;author&gt;Karsenty, G.&lt;/author&gt;&lt;/authors&gt;&lt;/contributors&gt;&lt;titles&gt;&lt;title&gt;[Epidemiology of a cohort of 450 urolithiasis at the Yalgado Ouedraogo university hospital of Ouagadougou (Burkina Faso)]&lt;/title&gt;&lt;secondary-title&gt;Prog Urol&lt;/secondary-title&gt;&lt;/titles&gt;&lt;periodical&gt;&lt;full-title&gt;Prog Urol&lt;/full-title&gt;&lt;/periodical&gt;&lt;pages&gt;971-6&lt;/pages&gt;&lt;volume&gt;23&lt;/volume&gt;&lt;number&gt;12&lt;/number&gt;&lt;edition&gt;2013/11/15&lt;/edition&gt;&lt;keywords&gt;&lt;keyword&gt;Adult&lt;/keyword&gt;&lt;keyword&gt;Burkina Faso&lt;/keyword&gt;&lt;keyword&gt;Female&lt;/keyword&gt;&lt;keyword&gt;Hospitals, University&lt;/keyword&gt;&lt;keyword&gt;Humans&lt;/keyword&gt;&lt;keyword&gt;Male&lt;/keyword&gt;&lt;keyword&gt;Middle Aged&lt;/keyword&gt;&lt;keyword&gt;Retrospective Studies&lt;/keyword&gt;&lt;keyword&gt;Urolithiasis/diagnosis/ epidemiology&lt;/keyword&gt;&lt;keyword&gt;Young Adult&lt;/keyword&gt;&lt;/keywords&gt;&lt;dates&gt;&lt;year&gt;2013&lt;/year&gt;&lt;pub-dates&gt;&lt;date&gt;Oct&lt;/date&gt;&lt;/pub-dates&gt;&lt;/dates&gt;&lt;orig-pub&gt;Epidemiologie d&amp;apos;une cohorte de 450 lithiasesurinaires au CHU Yalgado Ouedraogo deOuagadougou (Burkina Faso).&lt;/orig-pub&gt;&lt;isbn&gt;1166-7087 (Print)&amp;#xD;1166-7087 (Linking)&lt;/isbn&gt;&lt;accession-num&gt;24224198&lt;/accession-num&gt;&lt;urls&gt;&lt;/urls&gt;&lt;remote-database-provider&gt;Nlm&lt;/remote-database-provider&gt;&lt;language&gt;fre&lt;/language&gt;&lt;/record&gt;&lt;/Cite&gt;&lt;/EndNote&gt;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1" w:tooltip="Kabore, 2013 #19" w:history="1">
        <w:r w:rsidRPr="00B0704C">
          <w:rPr>
            <w:rFonts w:ascii="Times New Roman" w:eastAsia="Calibri" w:hAnsi="Times New Roman" w:cs="Times New Roman"/>
            <w:noProof/>
            <w:sz w:val="24"/>
            <w:szCs w:val="24"/>
            <w:lang w:val="fr-FR"/>
          </w:rPr>
          <w:t>1</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Cependant les lithiases vésicales de plus de 100g sont rares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&lt;EndNote&gt;&lt;Cite&gt;&lt;Author&gt;Gallego Vilar&lt;/Author&gt;&lt;Year&gt;2011&lt;/Year&gt;&lt;RecNum&gt;11&lt;/RecNum&gt;&lt;DisplayText&gt;[2]&lt;/DisplayText&gt;&lt;record&gt;&lt;rec-number&gt;11&lt;/rec-number&gt;&lt;foreign-keys&gt;&lt;key app="EN" db-id="2aaeaz0wtsdssue0svn5wztaeveaxdde0zvf"&gt;11&lt;/key&gt;&lt;/foreign-keys&gt;&lt;ref-type name="Journal Article"&gt;17&lt;/ref-type&gt;&lt;contributors&gt;&lt;authors&gt;&lt;author&gt;Gallego Vilar, D.&lt;/author&gt;&lt;author&gt;Beltran Persiva, J.&lt;/author&gt;&lt;author&gt;Perez Mestre, M.&lt;/author&gt;&lt;author&gt;Povo Martin, I. J.&lt;/author&gt;&lt;author&gt;Miralles Aguado, J.&lt;/author&gt;&lt;author&gt;Garau Perello, C.&lt;/author&gt;&lt;author&gt;De Francia, J. A.&lt;/author&gt;&lt;/authors&gt;&lt;/contributors&gt;&lt;auth-address&gt;Department of Urology, Hospital General de Castellon, Castellon de la Plana, Spain. dagalvi@hotmail.com&lt;/auth-address&gt;&lt;titles&gt;&lt;title&gt;Giant bladder lithiasis: case report and bibliographic review&lt;/title&gt;&lt;secondary-title&gt;Arch Esp Urol&lt;/secondary-title&gt;&lt;/titles&gt;&lt;periodical&gt;&lt;full-title&gt;Arch Esp Urol&lt;/full-title&gt;&lt;/periodical&gt;&lt;pages&gt;383-7&lt;/pages&gt;&lt;volume&gt;64&lt;/volume&gt;&lt;number&gt;4&lt;/number&gt;&lt;edition&gt;2011/05/26&lt;/edition&gt;&lt;keywords&gt;&lt;keyword&gt;Adult&lt;/keyword&gt;&lt;keyword&gt;Humans&lt;/keyword&gt;&lt;keyword&gt;Male&lt;/keyword&gt;&lt;keyword&gt;Urinary Bladder Calculi/ pathology&lt;/keyword&gt;&lt;/keywords&gt;&lt;dates&gt;&lt;year&gt;2011&lt;/year&gt;&lt;pub-dates&gt;&lt;date&gt;May&lt;/date&gt;&lt;/pub-dates&gt;&lt;/dates&gt;&lt;isbn&gt;1576-8260 (Electronic)&amp;#xD;0004-0614 (Linking)&lt;/isbn&gt;&lt;accession-num&gt;21610285&lt;/accession-num&gt;&lt;urls&gt;&lt;/urls&gt;&lt;remote-database-provider&gt;Nlm&lt;/remote-database-provider&gt;&lt;language&gt;eng&lt;/language&gt;&lt;/record&gt;&lt;/Cite&gt;&lt;/EndNote&gt;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2" w:tooltip="Gallego Vilar, 2011 #11" w:history="1">
        <w:r w:rsidRPr="00B0704C">
          <w:rPr>
            <w:rFonts w:ascii="Times New Roman" w:eastAsia="Calibri" w:hAnsi="Times New Roman" w:cs="Times New Roman"/>
            <w:noProof/>
            <w:sz w:val="24"/>
            <w:szCs w:val="24"/>
            <w:lang w:val="fr-FR"/>
          </w:rPr>
          <w:t>2</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et l’association grosse lithiase et tumeur de la vessie l’est davantage.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Nous rapportons un cas d’une macrolithiase vésicale associée à une tumeur de vessie découverte de façon fortuite. S’agit-il d’une simple association morbide sans rapport causal ? La macrolithiase a-t-elle joué un rôle carcinogène dans la genèse de la tumeur de vessie ?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r w:rsidRPr="00B0704C">
        <w:rPr>
          <w:rFonts w:ascii="Times New Roman" w:eastAsia="Calibri" w:hAnsi="Times New Roman" w:cs="Times New Roman"/>
          <w:b/>
          <w:sz w:val="24"/>
          <w:szCs w:val="24"/>
          <w:lang w:val="fr-FR"/>
        </w:rPr>
        <w:t>Présentation du cas</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Un sujet de 60 ans, éleveur  a été reçu en consultation d’urologie pour des douleurs mictionnelles et une hématurie macroscopique évoluant depuis environ six mois. L’anamnèse a retrouvé des douleurs mictionnelles épisodiques depuis près de deux ans, une nycturie  faite de 7 à 8 levées nocturnes et des douleurs hypogastriques intermittentes.  Le patient signale en outre des vertiges orthostatiques et une anorexie depuis environ  deux semaines et une constipation chronique. Nous n’avons pas retrouvé une notion évidente de bilharziose. Le sujet était éleveur depuis le jeune âge et son alimentation est faite de lait de vache et de céréale. Il n’a jamais été opéré.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 L’examen physique a retrouvé une pâleur conjonctivale et une voussure hypogastrique dure et bien limitée. Le toucher rectal combiné au palper hypogastrique a révélé une masse dure à surface lisse, indolore dont la mobilisation est transmise à la main posée sur l’hypogastre. La prostate était de volume normal. Les organes génitaux externes sont normaux. L’examen neurologique était normal.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lastRenderedPageBreak/>
        <w:t xml:space="preserve">Le bilan biologique a retrouvé une créatinémie à 360µmol/l, une anémie 6g/dl. L’uroculture était négative. Elle a retrouvé cependant une leucocyturie. Les taux sériques de calcium, de sodium de phosphate et de magnésium étaient normaux.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La radiographie de l’abdomen sans préparation a retrouvé un calcul vésical traduit par une opacité de tonalité calcique occupant tout le pelvis [Figure 1]. Le patient a bénéficié d’une transfusion de de trois poches de culot globulaire. Le taux d’hémoglobine après la transfusion était 10 g/dl.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Il a subi une cystolithotomie sous rachi anesthésie. Nous avons procédé par une incision pariétale médiane sous ombilicale et une incision vésicale longitudinale. La lithiase occupant toute la vessie, il a été réalisé un toucher rectal per opératoire repoussant la masse vers l’extérieur. Le bas-fond vésical avait un aspect friable et le péritoine recouvrant la face postérieure de la vessie avait un aspect épaissi. Il n’y avait cependant pas de masse endo vésicale ni d’obstacle cervicale visible. Nous avons alors réalisé une résection de toute la partie friable en débordant dans une zone macroscopiquement saine. Une sonde urétro vésicale a été posée sans difficulté. Le calcul extrait était blanchâtre et pesait 1,1 kg [Figue 2]. Le patient a été libéré le 5</w:t>
      </w:r>
      <w:r w:rsidRPr="00B0704C">
        <w:rPr>
          <w:rFonts w:ascii="Times New Roman" w:eastAsia="Calibri" w:hAnsi="Times New Roman" w:cs="Times New Roman"/>
          <w:sz w:val="24"/>
          <w:szCs w:val="24"/>
          <w:vertAlign w:val="superscript"/>
          <w:lang w:val="fr-FR"/>
        </w:rPr>
        <w:t>ème</w:t>
      </w:r>
      <w:r w:rsidRPr="00B0704C">
        <w:rPr>
          <w:rFonts w:ascii="Times New Roman" w:eastAsia="Calibri" w:hAnsi="Times New Roman" w:cs="Times New Roman"/>
          <w:sz w:val="24"/>
          <w:szCs w:val="24"/>
          <w:lang w:val="fr-FR"/>
        </w:rPr>
        <w:t xml:space="preserve"> jour post opératoire. L’ablation de la sonde a été réalisée le 10</w:t>
      </w:r>
      <w:r w:rsidRPr="00B0704C">
        <w:rPr>
          <w:rFonts w:ascii="Times New Roman" w:eastAsia="Calibri" w:hAnsi="Times New Roman" w:cs="Times New Roman"/>
          <w:sz w:val="24"/>
          <w:szCs w:val="24"/>
          <w:vertAlign w:val="superscript"/>
          <w:lang w:val="fr-FR"/>
        </w:rPr>
        <w:t>ème</w:t>
      </w:r>
      <w:r w:rsidRPr="00B0704C">
        <w:rPr>
          <w:rFonts w:ascii="Times New Roman" w:eastAsia="Calibri" w:hAnsi="Times New Roman" w:cs="Times New Roman"/>
          <w:sz w:val="24"/>
          <w:szCs w:val="24"/>
          <w:lang w:val="fr-FR"/>
        </w:rPr>
        <w:t xml:space="preserve"> jour post opératoire. L’analyse anatomo pathologique de la pièce de cystectomie a retrouvé un carcinome épidermoïde envahissant le muscle vésical avec des marges de résection saines (Figure 3).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La lithiase n’a pas été analysée faute de moyen. Le patient a été revu un mois après le cystolithotomie. Nous avons proposé une cysto prostatectomie au vue de l’histologie. Cette seconde intervention a été refusée et le patient a été perdu de vue. Il a consulté de nouveau au 18</w:t>
      </w:r>
      <w:r w:rsidRPr="00B0704C">
        <w:rPr>
          <w:rFonts w:ascii="Times New Roman" w:eastAsia="Calibri" w:hAnsi="Times New Roman" w:cs="Times New Roman"/>
          <w:sz w:val="24"/>
          <w:szCs w:val="24"/>
          <w:vertAlign w:val="superscript"/>
          <w:lang w:val="fr-FR"/>
        </w:rPr>
        <w:t>ème</w:t>
      </w:r>
      <w:r w:rsidRPr="00B0704C">
        <w:rPr>
          <w:rFonts w:ascii="Times New Roman" w:eastAsia="Calibri" w:hAnsi="Times New Roman" w:cs="Times New Roman"/>
          <w:sz w:val="24"/>
          <w:szCs w:val="24"/>
          <w:lang w:val="fr-FR"/>
        </w:rPr>
        <w:t xml:space="preserve"> mois post opératoire dans un tableau d’anémie consécutive à une hématurie récurrente. Il est décédé malgré les mesures de réanimation.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b/>
          <w:sz w:val="24"/>
          <w:szCs w:val="24"/>
          <w:lang w:val="fr-FR"/>
        </w:rPr>
      </w:pPr>
      <w:r w:rsidRPr="00B0704C">
        <w:rPr>
          <w:rFonts w:ascii="Times New Roman" w:eastAsia="Calibri" w:hAnsi="Times New Roman" w:cs="Times New Roman"/>
          <w:b/>
          <w:sz w:val="24"/>
          <w:szCs w:val="24"/>
          <w:lang w:val="fr-FR"/>
        </w:rPr>
        <w:t xml:space="preserve">Discussion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lastRenderedPageBreak/>
        <w:t xml:space="preserve">L’une des particularités des macrolithiases de la vessie est sa manifestation par une symptomatologie clinique peu bruyante comparée à l’énormité de la masse contenue dans la vessie. Ce constat a été rapporté par Aliyu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&lt;EndNote&gt;&lt;Cite&gt;&lt;Author&gt;Aliyu&lt;/Author&gt;&lt;Year&gt;2013&lt;/Year&gt;&lt;RecNum&gt;12&lt;/RecNum&gt;&lt;DisplayText&gt;[3]&lt;/DisplayText&gt;&lt;record&gt;&lt;rec-number&gt;12&lt;/rec-number&gt;&lt;foreign-keys&gt;&lt;key app="EN" db-id="2aaeaz0wtsdssue0svn5wztaeveaxdde0zvf"&gt;12&lt;/key&gt;&lt;/foreign-keys&gt;&lt;ref-type name="Journal Article"&gt;17&lt;/ref-type&gt;&lt;contributors&gt;&lt;authors&gt;&lt;author&gt;Aliyu, S.&lt;/author&gt;&lt;author&gt;Ali, N.&lt;/author&gt;&lt;author&gt;Ibrahim, A. G.&lt;/author&gt;&lt;/authors&gt;&lt;/contributors&gt;&lt;auth-address&gt;Department of Surgery, University of Maiduguri Teaching Hospital, Maiduguri, Borno State, Nigeria. nuhualinvwa@yahoo.com&lt;/auth-address&gt;&lt;titles&gt;&lt;title&gt;Giant vesical calculus&lt;/title&gt;&lt;secondary-title&gt;Niger J Med&lt;/secondary-title&gt;&lt;/titles&gt;&lt;periodical&gt;&lt;full-title&gt;Niger J Med&lt;/full-title&gt;&lt;/periodical&gt;&lt;pages&gt;148-50&lt;/pages&gt;&lt;volume&gt;22&lt;/volume&gt;&lt;number&gt;2&lt;/number&gt;&lt;edition&gt;2013/07/09&lt;/edition&gt;&lt;keywords&gt;&lt;keyword&gt;Humans&lt;/keyword&gt;&lt;keyword&gt;Male&lt;/keyword&gt;&lt;keyword&gt;Middle Aged&lt;/keyword&gt;&lt;keyword&gt;Urinary Bladder Calculi/pathology/ surgery&lt;/keyword&gt;&lt;/keywords&gt;&lt;dates&gt;&lt;year&gt;2013&lt;/year&gt;&lt;pub-dates&gt;&lt;date&gt;Apr-Jun&lt;/date&gt;&lt;/pub-dates&gt;&lt;/dates&gt;&lt;isbn&gt;1115-2613 (Print)&amp;#xD;1115-2613 (Linking)&lt;/isbn&gt;&lt;accession-num&gt;23829128&lt;/accession-num&gt;&lt;urls&gt;&lt;/urls&gt;&lt;remote-database-provider&gt;Nlm&lt;/remote-database-provider&gt;&lt;language&gt;eng&lt;/language&gt;&lt;/record&gt;&lt;/Cite&gt;&lt;/EndNote&gt;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3" w:tooltip="Aliyu, 2013 #12" w:history="1">
        <w:r w:rsidRPr="00B0704C">
          <w:rPr>
            <w:rFonts w:ascii="Times New Roman" w:eastAsia="Calibri" w:hAnsi="Times New Roman" w:cs="Times New Roman"/>
            <w:noProof/>
            <w:sz w:val="24"/>
            <w:szCs w:val="24"/>
            <w:lang w:val="fr-FR"/>
          </w:rPr>
          <w:t>3</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faisant des grosses lithiases une entité anatomo-clinique spécifique.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Les lithiases vésicales peuvent être réparties en trois groupes : les lithiases du haut appareil urinaire ayant migré dans la vessie, les lithiases vésicales primitives et les lithiases vésicales secondaires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&lt;EndNote&gt;&lt;Cite&gt;&lt;Author&gt;Philippou&lt;/Author&gt;&lt;Year&gt;2012&lt;/Year&gt;&lt;RecNum&gt;26&lt;/RecNum&gt;&lt;DisplayText&gt;[4]&lt;/DisplayText&gt;&lt;record&gt;&lt;rec-number&gt;26&lt;/rec-number&gt;&lt;foreign-keys&gt;&lt;key app="EN" db-id="2aaeaz0wtsdssue0svn5wztaeveaxdde0zvf"&gt;26&lt;/key&gt;&lt;/foreign-keys&gt;&lt;ref-type name="Journal Article"&gt;17&lt;/ref-type&gt;&lt;contributors&gt;&lt;authors&gt;&lt;author&gt;Philippou, P.&lt;/author&gt;&lt;author&gt;Moraitis, K.&lt;/author&gt;&lt;author&gt;Masood, J.&lt;/author&gt;&lt;author&gt;Junaid, I.&lt;/author&gt;&lt;author&gt;Buchholz, N.&lt;/author&gt;&lt;/authors&gt;&lt;/contributors&gt;&lt;auth-address&gt;Endourology &amp;amp; Stone Services, Barts and The London NHS Trust, West Smithfield, London, UK.&lt;/auth-address&gt;&lt;titles&gt;&lt;title&gt;The management of bladder lithiasis in the modern era of endourology&lt;/title&gt;&lt;secondary-title&gt;Urology&lt;/secondary-title&gt;&lt;/titles&gt;&lt;periodical&gt;&lt;full-title&gt;Urology&lt;/full-title&gt;&lt;/periodical&gt;&lt;pages&gt;980-6&lt;/pages&gt;&lt;volume&gt;79&lt;/volume&gt;&lt;number&gt;5&lt;/number&gt;&lt;edition&gt;2011/11/29&lt;/edition&gt;&lt;keywords&gt;&lt;keyword&gt;Humans&lt;/keyword&gt;&lt;keyword&gt;Lithotripsy&lt;/keyword&gt;&lt;keyword&gt;Male&lt;/keyword&gt;&lt;keyword&gt;Prostatic Hyperplasia/complications/surgery&lt;/keyword&gt;&lt;keyword&gt;Urinary Bladder Calculi/complications/surgery/ therapy&lt;/keyword&gt;&lt;keyword&gt;Urinary Bladder Neck Obstruction/etiology/surgery&lt;/keyword&gt;&lt;/keywords&gt;&lt;dates&gt;&lt;year&gt;2012&lt;/year&gt;&lt;pub-dates&gt;&lt;date&gt;May&lt;/date&gt;&lt;/pub-dates&gt;&lt;/dates&gt;&lt;isbn&gt;1527-9995 (Electronic)&amp;#xD;0090-4295 (Linking)&lt;/isbn&gt;&lt;accession-num&gt;22119259&lt;/accession-num&gt;&lt;urls&gt;&lt;/urls&gt;&lt;electronic-resource-num&gt;S0090-4295(11)02363-6 [pii]&amp;#xD;10.1016/j.urology.2011.09.014 [doi]&lt;/electronic-resource-num&gt;&lt;remote-database-provider&gt;Nlm&lt;/remote-database-provider&gt;&lt;language&gt;eng&lt;/language&gt;&lt;/record&gt;&lt;/Cite&gt;&lt;/EndNote&gt;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4" w:tooltip="Philippou, 2012 #26" w:history="1">
        <w:r w:rsidRPr="00B0704C">
          <w:rPr>
            <w:rFonts w:ascii="Times New Roman" w:eastAsia="Calibri" w:hAnsi="Times New Roman" w:cs="Times New Roman"/>
            <w:noProof/>
            <w:sz w:val="24"/>
            <w:szCs w:val="24"/>
            <w:lang w:val="fr-FR"/>
          </w:rPr>
          <w:t>4</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Les lithiases vésicales primitives restent endémiques dans beaucoup de pays en développement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&lt;EndNote&gt;&lt;Cite&gt;&lt;Author&gt;Philippou&lt;/Author&gt;&lt;Year&gt;2012&lt;/Year&gt;&lt;RecNum&gt;26&lt;/RecNum&gt;&lt;DisplayText&gt;[4]&lt;/DisplayText&gt;&lt;record&gt;&lt;rec-number&gt;26&lt;/rec-number&gt;&lt;foreign-keys&gt;&lt;key app="EN" db-id="2aaeaz0wtsdssue0svn5wztaeveaxdde0zvf"&gt;26&lt;/key&gt;&lt;/foreign-keys&gt;&lt;ref-type name="Journal Article"&gt;17&lt;/ref-type&gt;&lt;contributors&gt;&lt;authors&gt;&lt;author&gt;Philippou, P.&lt;/author&gt;&lt;author&gt;Moraitis, K.&lt;/author&gt;&lt;author&gt;Masood, J.&lt;/author&gt;&lt;author&gt;Junaid, I.&lt;/author&gt;&lt;author&gt;Buchholz, N.&lt;/author&gt;&lt;/authors&gt;&lt;/contributors&gt;&lt;auth-address&gt;Endourology &amp;amp; Stone Services, Barts and The London NHS Trust, West Smithfield, London, UK.&lt;/auth-address&gt;&lt;titles&gt;&lt;title&gt;The management of bladder lithiasis in the modern era of endourology&lt;/title&gt;&lt;secondary-title&gt;Urology&lt;/secondary-title&gt;&lt;/titles&gt;&lt;periodical&gt;&lt;full-title&gt;Urology&lt;/full-title&gt;&lt;/periodical&gt;&lt;pages&gt;980-6&lt;/pages&gt;&lt;volume&gt;79&lt;/volume&gt;&lt;number&gt;5&lt;/number&gt;&lt;edition&gt;2011/11/29&lt;/edition&gt;&lt;keywords&gt;&lt;keyword&gt;Humans&lt;/keyword&gt;&lt;keyword&gt;Lithotripsy&lt;/keyword&gt;&lt;keyword&gt;Male&lt;/keyword&gt;&lt;keyword&gt;Prostatic Hyperplasia/complications/surgery&lt;/keyword&gt;&lt;keyword&gt;Urinary Bladder Calculi/complications/surgery/ therapy&lt;/keyword&gt;&lt;keyword&gt;Urinary Bladder Neck Obstruction/etiology/surgery&lt;/keyword&gt;&lt;/keywords&gt;&lt;dates&gt;&lt;year&gt;2012&lt;/year&gt;&lt;pub-dates&gt;&lt;date&gt;May&lt;/date&gt;&lt;/pub-dates&gt;&lt;/dates&gt;&lt;isbn&gt;1527-9995 (Electronic)&amp;#xD;0090-4295 (Linking)&lt;/isbn&gt;&lt;accession-num&gt;22119259&lt;/accession-num&gt;&lt;urls&gt;&lt;/urls&gt;&lt;electronic-resource-num&gt;S0090-4295(11)02363-6 [pii]&amp;#xD;10.1016/j.urology.2011.09.014 [doi]&lt;/electronic-resource-num&gt;&lt;remote-database-provider&gt;Nlm&lt;/remote-database-provider&gt;&lt;language&gt;eng&lt;/language&gt;&lt;/record&gt;&lt;/Cite&gt;&lt;/EndNote&gt;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4" w:tooltip="Philippou, 2012 #26" w:history="1">
        <w:r w:rsidRPr="00B0704C">
          <w:rPr>
            <w:rFonts w:ascii="Times New Roman" w:eastAsia="Calibri" w:hAnsi="Times New Roman" w:cs="Times New Roman"/>
            <w:noProof/>
            <w:sz w:val="24"/>
            <w:szCs w:val="24"/>
            <w:lang w:val="fr-FR"/>
          </w:rPr>
          <w:t>4</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Elles touchent plus les sujets de sexe masculin avec une prévalence élevée dans le milieu pédiatrique. Leur pathogénie reste peu élucidée mais elles sont associées à des facteurs alimentaires et environnementaux. Les lithiases vésicales secondaires sont des calculs initiés dans la vessie secondairement à une infection urinaire, une stase urinaire, un reflux vésico-urétéral ou la présence d’un corps étranger intra vésical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&lt;EndNote&gt;&lt;Cite&gt;&lt;Author&gt;Philippou&lt;/Author&gt;&lt;Year&gt;2012&lt;/Year&gt;&lt;RecNum&gt;26&lt;/RecNum&gt;&lt;DisplayText&gt;[4]&lt;/DisplayText&gt;&lt;record&gt;&lt;rec-number&gt;26&lt;/rec-number&gt;&lt;foreign-keys&gt;&lt;key app="EN" db-id="2aaeaz0wtsdssue0svn5wztaeveaxdde0zvf"&gt;26&lt;/key&gt;&lt;/foreign-keys&gt;&lt;ref-type name="Journal Article"&gt;17&lt;/ref-type&gt;&lt;contributors&gt;&lt;authors&gt;&lt;author&gt;Philippou, P.&lt;/author&gt;&lt;author&gt;Moraitis, K.&lt;/author&gt;&lt;author&gt;Masood, J.&lt;/author&gt;&lt;author&gt;Junaid, I.&lt;/author&gt;&lt;author&gt;Buchholz, N.&lt;/author&gt;&lt;/authors&gt;&lt;/contributors&gt;&lt;auth-address&gt;Endourology &amp;amp; Stone Services, Barts and The London NHS Trust, West Smithfield, London, UK.&lt;/auth-address&gt;&lt;titles&gt;&lt;title&gt;The management of bladder lithiasis in the modern era of endourology&lt;/title&gt;&lt;secondary-title&gt;Urology&lt;/secondary-title&gt;&lt;/titles&gt;&lt;periodical&gt;&lt;full-title&gt;Urology&lt;/full-title&gt;&lt;/periodical&gt;&lt;pages&gt;980-6&lt;/pages&gt;&lt;volume&gt;79&lt;/volume&gt;&lt;number&gt;5&lt;/number&gt;&lt;edition&gt;2011/11/29&lt;/edition&gt;&lt;keywords&gt;&lt;keyword&gt;Humans&lt;/keyword&gt;&lt;keyword&gt;Lithotripsy&lt;/keyword&gt;&lt;keyword&gt;Male&lt;/keyword&gt;&lt;keyword&gt;Prostatic Hyperplasia/complications/surgery&lt;/keyword&gt;&lt;keyword&gt;Urinary Bladder Calculi/complications/surgery/ therapy&lt;/keyword&gt;&lt;keyword&gt;Urinary Bladder Neck Obstruction/etiology/surgery&lt;/keyword&gt;&lt;/keywords&gt;&lt;dates&gt;&lt;year&gt;2012&lt;/year&gt;&lt;pub-dates&gt;&lt;date&gt;May&lt;/date&gt;&lt;/pub-dates&gt;&lt;/dates&gt;&lt;isbn&gt;1527-9995 (Electronic)&amp;#xD;0090-4295 (Linking)&lt;/isbn&gt;&lt;accession-num&gt;22119259&lt;/accession-num&gt;&lt;urls&gt;&lt;/urls&gt;&lt;electronic-resource-num&gt;S0090-4295(11)02363-6 [pii]&amp;#xD;10.1016/j.urology.2011.09.014 [doi]&lt;/electronic-resource-num&gt;&lt;remote-database-provider&gt;Nlm&lt;/remote-database-provider&gt;&lt;language&gt;eng&lt;/language&gt;&lt;/record&gt;&lt;/Cite&gt;&lt;/EndNote&gt;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4" w:tooltip="Philippou, 2012 #26" w:history="1">
        <w:r w:rsidRPr="00B0704C">
          <w:rPr>
            <w:rFonts w:ascii="Times New Roman" w:eastAsia="Calibri" w:hAnsi="Times New Roman" w:cs="Times New Roman"/>
            <w:noProof/>
            <w:sz w:val="24"/>
            <w:szCs w:val="24"/>
            <w:lang w:val="fr-FR"/>
          </w:rPr>
          <w:t>4</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L’absence d’obstacle cervico prostatique à l’exploration per opératoire et l’absence de résistance lors du passage de la sonde urétro vésicale ne sont pas en faveur d’une lithiase d’origine obstructive chez ce patient.</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Selon Tahtali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&lt;EndNote&gt;&lt;Cite&gt;&lt;Author&gt;Tahtali&lt;/Author&gt;&lt;Year&gt;2014&lt;/Year&gt;&lt;RecNum&gt;10&lt;/RecNum&gt;&lt;DisplayText&gt;[5]&lt;/DisplayText&gt;&lt;record&gt;&lt;rec-number&gt;10&lt;/rec-number&gt;&lt;foreign-keys&gt;&lt;key app="EN" db-id="2aaeaz0wtsdssue0svn5wztaeveaxdde0zvf"&gt;10&lt;/key&gt;&lt;/foreign-keys&gt;&lt;ref-type name="Journal Article"&gt;17&lt;/ref-type&gt;&lt;contributors&gt;&lt;authors&gt;&lt;author&gt;Tahtali, I. N.&lt;/author&gt;&lt;author&gt;Karatas, T.&lt;/author&gt;&lt;/authors&gt;&lt;/contributors&gt;&lt;auth-address&gt;Department of Urology, Malatya State Hospital, Malatya, Turkey.&amp;#xD;Department of General Surgery, Malatya State Hospital, Malatya, Turkey.&lt;/auth-address&gt;&lt;titles&gt;&lt;title&gt;Giant bladder stone: A case report and review of the literature&lt;/title&gt;&lt;secondary-title&gt;Turk J Urol&lt;/secondary-title&gt;&lt;/titles&gt;&lt;periodical&gt;&lt;full-title&gt;Turk J Urol&lt;/full-title&gt;&lt;/periodical&gt;&lt;pages&gt;189-91&lt;/pages&gt;&lt;volume&gt;40&lt;/volume&gt;&lt;number&gt;3&lt;/number&gt;&lt;edition&gt;2015/09/04&lt;/edition&gt;&lt;dates&gt;&lt;year&gt;2014&lt;/year&gt;&lt;pub-dates&gt;&lt;date&gt;Sep&lt;/date&gt;&lt;/pub-dates&gt;&lt;/dates&gt;&lt;isbn&gt;2149-3235 (Print)&amp;#xD;2149-3235 (Linking)&lt;/isbn&gt;&lt;accession-num&gt;26328176&lt;/accession-num&gt;&lt;urls&gt;&lt;/urls&gt;&lt;custom2&gt;4548388&lt;/custom2&gt;&lt;electronic-resource-num&gt;10.5152/tud.2014.02603 [doi]&amp;#xD;tju-40-3-189 [pii]&lt;/electronic-resource-num&gt;&lt;remote-database-provider&gt;Nlm&lt;/remote-database-provider&gt;&lt;language&gt;eng&lt;/language&gt;&lt;/record&gt;&lt;/Cite&gt;&lt;/EndNote&gt;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5" w:tooltip="Tahtali, 2014 #10" w:history="1">
        <w:r w:rsidRPr="00B0704C">
          <w:rPr>
            <w:rFonts w:ascii="Times New Roman" w:eastAsia="Calibri" w:hAnsi="Times New Roman" w:cs="Times New Roman"/>
            <w:noProof/>
            <w:sz w:val="24"/>
            <w:szCs w:val="24"/>
            <w:lang w:val="fr-FR"/>
          </w:rPr>
          <w:t>5</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la lithiase géante peut se  former en l’absence de facteur de prédisposition anatomique ou fonctionnelle. La production d’uréase par certains germes à tropisme urologique est directement impliquée dans la genèse des lithiases d’infection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&lt;EndNote&gt;&lt;Cite&gt;&lt;Author&gt;Bichler&lt;/Author&gt;&lt;Year&gt;2003&lt;/Year&gt;&lt;RecNum&gt;22&lt;/RecNum&gt;&lt;DisplayText&gt;[6]&lt;/DisplayText&gt;&lt;record&gt;&lt;rec-number&gt;22&lt;/rec-number&gt;&lt;foreign-keys&gt;&lt;key app="EN" db-id="2aaeaz0wtsdssue0svn5wztaeveaxdde0zvf"&gt;22&lt;/key&gt;&lt;/foreign-keys&gt;&lt;ref-type name="Journal Article"&gt;17&lt;/ref-type&gt;&lt;contributors&gt;&lt;authors&gt;&lt;author&gt;Bichler, K. H.&lt;/author&gt;&lt;author&gt;Eipper, E.&lt;/author&gt;&lt;author&gt;Naber, K.&lt;/author&gt;&lt;/authors&gt;&lt;/contributors&gt;&lt;auth-address&gt;Klinik und Poliklinik fur Urologie, Eberhard-Karls-Universitat, Tuebingen. bichler@med.uni-tuebingen.de.&lt;/auth-address&gt;&lt;titles&gt;&lt;title&gt;[Infection-induced urinary stones]&lt;/title&gt;&lt;secondary-title&gt;Urologe A&lt;/secondary-title&gt;&lt;/titles&gt;&lt;periodical&gt;&lt;full-title&gt;Urologe A&lt;/full-title&gt;&lt;/periodical&gt;&lt;pages&gt;47-55&lt;/pages&gt;&lt;volume&gt;42&lt;/volume&gt;&lt;number&gt;1&lt;/number&gt;&lt;edition&gt;2003/02/08&lt;/edition&gt;&lt;keywords&gt;&lt;keyword&gt;Apatites/urine&lt;/keyword&gt;&lt;keyword&gt;Bacteria/enzymology/isolation &amp;amp; purification&lt;/keyword&gt;&lt;keyword&gt;Comorbidity&lt;/keyword&gt;&lt;keyword&gt;Humans&lt;/keyword&gt;&lt;keyword&gt;Hydrogen-Ion Concentration&lt;/keyword&gt;&lt;keyword&gt;Magnesium Compounds/urine&lt;/keyword&gt;&lt;keyword&gt;Phosphates/urine&lt;/keyword&gt;&lt;keyword&gt;Risk Factors&lt;/keyword&gt;&lt;keyword&gt;Urease/metabolism&lt;/keyword&gt;&lt;keyword&gt;Urinary Calculi/ epidemiology/microbiology/therapy&lt;/keyword&gt;&lt;keyword&gt;Urinary Tract Infections/ epidemiology/microbiology/therapy&lt;/keyword&gt;&lt;keyword&gt;Urography&lt;/keyword&gt;&lt;/keywords&gt;&lt;dates&gt;&lt;year&gt;2003&lt;/year&gt;&lt;pub-dates&gt;&lt;date&gt;Jan&lt;/date&gt;&lt;/pub-dates&gt;&lt;/dates&gt;&lt;orig-pub&gt;Infektinduzierte Harnsteine.&lt;/orig-pub&gt;&lt;isbn&gt;0340-2592 (Print)&amp;#xD;0340-2592 (Linking)&lt;/isbn&gt;&lt;accession-num&gt;12574884&lt;/accession-num&gt;&lt;urls&gt;&lt;/urls&gt;&lt;electronic-resource-num&gt;10.1007/s00120-002-0272-5 [doi]&lt;/electronic-resource-num&gt;&lt;remote-database-provider&gt;Nlm&lt;/remote-database-provider&gt;&lt;language&gt;ger&lt;/language&gt;&lt;/record&gt;&lt;/Cite&gt;&lt;/EndNote&gt;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6" w:tooltip="Bichler, 2003 #22" w:history="1">
        <w:r w:rsidRPr="00B0704C">
          <w:rPr>
            <w:rFonts w:ascii="Times New Roman" w:eastAsia="Calibri" w:hAnsi="Times New Roman" w:cs="Times New Roman"/>
            <w:noProof/>
            <w:sz w:val="24"/>
            <w:szCs w:val="24"/>
            <w:lang w:val="fr-FR"/>
          </w:rPr>
          <w:t>6</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En milieu alcalin ces lithiases peuvent se développer en quatre à six semaines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&lt;EndNote&gt;&lt;Cite&gt;&lt;Author&gt;Bichler&lt;/Author&gt;&lt;Year&gt;2003&lt;/Year&gt;&lt;RecNum&gt;22&lt;/RecNum&gt;&lt;DisplayText&gt;[6]&lt;/DisplayText&gt;&lt;record&gt;&lt;rec-number&gt;22&lt;/rec-number&gt;&lt;foreign-keys&gt;&lt;key app="EN" db-id="2aaeaz0wtsdssue0svn5wztaeveaxdde0zvf"&gt;22&lt;/key&gt;&lt;/foreign-keys&gt;&lt;ref-type name="Journal Article"&gt;17&lt;/ref-type&gt;&lt;contributors&gt;&lt;authors&gt;&lt;author&gt;Bichler, K. H.&lt;/author&gt;&lt;author&gt;Eipper, E.&lt;/author&gt;&lt;author&gt;Naber, K.&lt;/author&gt;&lt;/authors&gt;&lt;/contributors&gt;&lt;auth-address&gt;Klinik und Poliklinik fur Urologie, Eberhard-Karls-Universitat, Tuebingen. bichler@med.uni-tuebingen.de.&lt;/auth-address&gt;&lt;titles&gt;&lt;title&gt;[Infection-induced urinary stones]&lt;/title&gt;&lt;secondary-title&gt;Urologe A&lt;/secondary-title&gt;&lt;/titles&gt;&lt;periodical&gt;&lt;full-title&gt;Urologe A&lt;/full-title&gt;&lt;/periodical&gt;&lt;pages&gt;47-55&lt;/pages&gt;&lt;volume&gt;42&lt;/volume&gt;&lt;number&gt;1&lt;/number&gt;&lt;edition&gt;2003/02/08&lt;/edition&gt;&lt;keywords&gt;&lt;keyword&gt;Apatites/urine&lt;/keyword&gt;&lt;keyword&gt;Bacteria/enzymology/isolation &amp;amp; purification&lt;/keyword&gt;&lt;keyword&gt;Comorbidity&lt;/keyword&gt;&lt;keyword&gt;Humans&lt;/keyword&gt;&lt;keyword&gt;Hydrogen-Ion Concentration&lt;/keyword&gt;&lt;keyword&gt;Magnesium Compounds/urine&lt;/keyword&gt;&lt;keyword&gt;Phosphates/urine&lt;/keyword&gt;&lt;keyword&gt;Risk Factors&lt;/keyword&gt;&lt;keyword&gt;Urease/metabolism&lt;/keyword&gt;&lt;keyword&gt;Urinary Calculi/ epidemiology/microbiology/therapy&lt;/keyword&gt;&lt;keyword&gt;Urinary Tract Infections/ epidemiology/microbiology/therapy&lt;/keyword&gt;&lt;keyword&gt;Urography&lt;/keyword&gt;&lt;/keywords&gt;&lt;dates&gt;&lt;year&gt;2003&lt;/year&gt;&lt;pub-dates&gt;&lt;date&gt;Jan&lt;/date&gt;&lt;/pub-dates&gt;&lt;/dates&gt;&lt;orig-pub&gt;Infektinduzierte Harnsteine.&lt;/orig-pub&gt;&lt;isbn&gt;0340-2592 (Print)&amp;#xD;0340-2592 (Linking)&lt;/isbn&gt;&lt;accession-num&gt;12574884&lt;/accession-num&gt;&lt;urls&gt;&lt;/urls&gt;&lt;electronic-resource-num&gt;10.1007/s00120-002-0272-5 [doi]&lt;/electronic-resource-num&gt;&lt;remote-database-provider&gt;Nlm&lt;/remote-database-provider&gt;&lt;language&gt;ger&lt;/language&gt;&lt;/record&gt;&lt;/Cite&gt;&lt;/EndNote&gt;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6" w:tooltip="Bichler, 2003 #22" w:history="1">
        <w:r w:rsidRPr="00B0704C">
          <w:rPr>
            <w:rFonts w:ascii="Times New Roman" w:eastAsia="Calibri" w:hAnsi="Times New Roman" w:cs="Times New Roman"/>
            <w:noProof/>
            <w:sz w:val="24"/>
            <w:szCs w:val="24"/>
            <w:lang w:val="fr-FR"/>
          </w:rPr>
          <w:t>6</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Dans les pays développés les lithiases d’infection constituent 10 à 15% des lithiases urologiques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&lt;EndNote&gt;&lt;Cite&gt;&lt;Author&gt;Bichler&lt;/Author&gt;&lt;Year&gt;2003&lt;/Year&gt;&lt;RecNum&gt;22&lt;/RecNum&gt;&lt;DisplayText&gt;[6]&lt;/DisplayText&gt;&lt;record&gt;&lt;rec-number&gt;22&lt;/rec-number&gt;&lt;foreign-keys&gt;&lt;key app="EN" db-id="2aaeaz0wtsdssue0svn5wztaeveaxdde0zvf"&gt;22&lt;/key&gt;&lt;/foreign-keys&gt;&lt;ref-type name="Journal Article"&gt;17&lt;/ref-type&gt;&lt;contributors&gt;&lt;authors&gt;&lt;author&gt;Bichler, K. H.&lt;/author&gt;&lt;author&gt;Eipper, E.&lt;/author&gt;&lt;author&gt;Naber, K.&lt;/author&gt;&lt;/authors&gt;&lt;/contributors&gt;&lt;auth-address&gt;Klinik und Poliklinik fur Urologie, Eberhard-Karls-Universitat, Tuebingen. bichler@med.uni-tuebingen.de.&lt;/auth-address&gt;&lt;titles&gt;&lt;title&gt;[Infection-induced urinary stones]&lt;/title&gt;&lt;secondary-title&gt;Urologe A&lt;/secondary-title&gt;&lt;/titles&gt;&lt;periodical&gt;&lt;full-title&gt;Urologe A&lt;/full-title&gt;&lt;/periodical&gt;&lt;pages&gt;47-55&lt;/pages&gt;&lt;volume&gt;42&lt;/volume&gt;&lt;number&gt;1&lt;/number&gt;&lt;edition&gt;2003/02/08&lt;/edition&gt;&lt;keywords&gt;&lt;keyword&gt;Apatites/urine&lt;/keyword&gt;&lt;keyword&gt;Bacteria/enzymology/isolation &amp;amp; purification&lt;/keyword&gt;&lt;keyword&gt;Comorbidity&lt;/keyword&gt;&lt;keyword&gt;Humans&lt;/keyword&gt;&lt;keyword&gt;Hydrogen-Ion Concentration&lt;/keyword&gt;&lt;keyword&gt;Magnesium Compounds/urine&lt;/keyword&gt;&lt;keyword&gt;Phosphates/urine&lt;/keyword&gt;&lt;keyword&gt;Risk Factors&lt;/keyword&gt;&lt;keyword&gt;Urease/metabolism&lt;/keyword&gt;&lt;keyword&gt;Urinary Calculi/ epidemiology/microbiology/therapy&lt;/keyword&gt;&lt;keyword&gt;Urinary Tract Infections/ epidemiology/microbiology/therapy&lt;/keyword&gt;&lt;keyword&gt;Urography&lt;/keyword&gt;&lt;/keywords&gt;&lt;dates&gt;&lt;year&gt;2003&lt;/year&gt;&lt;pub-dates&gt;&lt;date&gt;Jan&lt;/date&gt;&lt;/pub-dates&gt;&lt;/dates&gt;&lt;orig-pub&gt;Infektinduzierte Harnsteine.&lt;/orig-pub&gt;&lt;isbn&gt;0340-2592 (Print)&amp;#xD;0340-2592 (Linking)&lt;/isbn&gt;&lt;accession-num&gt;12574884&lt;/accession-num&gt;&lt;urls&gt;&lt;/urls&gt;&lt;electronic-resource-num&gt;10.1007/s00120-002-0272-5 [doi]&lt;/electronic-resource-num&gt;&lt;remote-database-provider&gt;Nlm&lt;/remote-database-provider&gt;&lt;language&gt;ger&lt;/language&gt;&lt;/record&gt;&lt;/Cite&gt;&lt;/EndNote&gt;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6" w:tooltip="Bichler, 2003 #22" w:history="1">
        <w:r w:rsidRPr="00B0704C">
          <w:rPr>
            <w:rFonts w:ascii="Times New Roman" w:eastAsia="Calibri" w:hAnsi="Times New Roman" w:cs="Times New Roman"/>
            <w:noProof/>
            <w:sz w:val="24"/>
            <w:szCs w:val="24"/>
            <w:lang w:val="fr-FR"/>
          </w:rPr>
          <w:t>6</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Cette proportion est plus élevée dans notre contexte de travail. Les lithiases faites de struvite et d’urate d’ammonium qui sont par nature des lithiases d’infection  représentent respectivement 14% et 24% des lithiases au Burkina Faso </w:t>
      </w:r>
      <w:r w:rsidRPr="00B0704C">
        <w:rPr>
          <w:rFonts w:ascii="Times New Roman" w:eastAsia="Calibri" w:hAnsi="Times New Roman" w:cs="Times New Roman"/>
          <w:sz w:val="24"/>
          <w:szCs w:val="24"/>
          <w:lang w:val="fr-FR"/>
        </w:rPr>
        <w:fldChar w:fldCharType="begin">
          <w:fldData xml:space="preserve">PEVuZE5vdGU+PENpdGU+PEF1dGhvcj5EZXNzb21iejwvQXV0aG9yPjxZZWFyPjIwMTU8L1llYXI+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</w:fldData>
        </w:fldChar>
      </w:r>
      <w:r w:rsidRPr="00B0704C">
        <w:rPr>
          <w:rFonts w:ascii="Times New Roman" w:eastAsia="Calibri" w:hAnsi="Times New Roman" w:cs="Times New Roman"/>
          <w:sz w:val="24"/>
          <w:szCs w:val="24"/>
          <w:lang w:val="fr-FR"/>
        </w:rPr>
        <w:instrText xml:space="preserve"> ADDIN EN.CITE </w:instrText>
      </w:r>
      <w:r w:rsidRPr="00B0704C">
        <w:rPr>
          <w:rFonts w:ascii="Times New Roman" w:eastAsia="Calibri" w:hAnsi="Times New Roman" w:cs="Times New Roman"/>
          <w:sz w:val="24"/>
          <w:szCs w:val="24"/>
          <w:lang w:val="fr-FR"/>
        </w:rPr>
        <w:fldChar w:fldCharType="begin">
          <w:fldData xml:space="preserve">PEVuZE5vdGU+PENpdGU+PEF1dGhvcj5EZXNzb21iejwvQXV0aG9yPjxZZWFyPjIwMTU8L1llYXI+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</w:fldData>
        </w:fldChar>
      </w:r>
      <w:r w:rsidRPr="00B0704C">
        <w:rPr>
          <w:rFonts w:ascii="Times New Roman" w:eastAsia="Calibri" w:hAnsi="Times New Roman" w:cs="Times New Roman"/>
          <w:sz w:val="24"/>
          <w:szCs w:val="24"/>
          <w:lang w:val="fr-FR"/>
        </w:rPr>
        <w:instrText xml:space="preserve"> ADDIN EN.CITE.DATA </w:instrText>
      </w:r>
      <w:r w:rsidRPr="00B0704C">
        <w:rPr>
          <w:rFonts w:ascii="Times New Roman" w:eastAsia="Calibri" w:hAnsi="Times New Roman" w:cs="Times New Roman"/>
          <w:sz w:val="24"/>
          <w:szCs w:val="24"/>
          <w:lang w:val="fr-FR"/>
        </w:rPr>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7" w:tooltip="Dessombz, 2015 #27" w:history="1">
        <w:r w:rsidRPr="00B0704C">
          <w:rPr>
            <w:rFonts w:ascii="Times New Roman" w:eastAsia="Calibri" w:hAnsi="Times New Roman" w:cs="Times New Roman"/>
            <w:noProof/>
            <w:sz w:val="24"/>
            <w:szCs w:val="24"/>
            <w:lang w:val="fr-FR"/>
          </w:rPr>
          <w:t>7</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Cette prévalence des lithiases d’infection dans notre milieu mérite sa prise en compte dans l’enquête étiologique. L’analyse de la lithiase aurait apportée des renseignements essentiels sur sa genèse. Si l’initiation de la lithiase de ce patient </w:t>
      </w:r>
      <w:r w:rsidRPr="00B0704C">
        <w:rPr>
          <w:rFonts w:ascii="Times New Roman" w:eastAsia="Calibri" w:hAnsi="Times New Roman" w:cs="Times New Roman"/>
          <w:sz w:val="24"/>
          <w:szCs w:val="24"/>
          <w:lang w:val="fr-FR"/>
        </w:rPr>
        <w:lastRenderedPageBreak/>
        <w:t xml:space="preserve">peut être d’origine infectieuse, des facteurs alimentaires pourraient avoir contribué à sa croissance. En effet il s’agit d’un patient qui est éleveur de bovin dont l’alimentation est essentiellement à base de lait de vache. Cette alimentation étant riche en calcium.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Les hypothèses concernant le rôle carcinogène de la lithiase vésicale ont été émis et plusieurs modèles animaux ont été étudiés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&lt;EndNote&gt;&lt;Cite&gt;&lt;Author&gt;Cohen&lt;/Author&gt;&lt;Year&gt;2002&lt;/Year&gt;&lt;RecNum&gt;18&lt;/RecNum&gt;&lt;DisplayText&gt;[8]&lt;/DisplayText&gt;&lt;record&gt;&lt;rec-number&gt;18&lt;/rec-number&gt;&lt;foreign-keys&gt;&lt;key app="EN" db-id="2aaeaz0wtsdssue0svn5wztaeveaxdde0zvf"&gt;18&lt;/key&gt;&lt;/foreign-keys&gt;&lt;ref-type name="Journal Article"&gt;17&lt;/ref-type&gt;&lt;contributors&gt;&lt;authors&gt;&lt;author&gt;Cohen, S. M.&lt;/author&gt;&lt;author&gt;Johansson, S. L.&lt;/author&gt;&lt;author&gt;Arnold, L. L.&lt;/author&gt;&lt;author&gt;Lawson, T. A.&lt;/author&gt;&lt;/authors&gt;&lt;/contributors&gt;&lt;auth-address&gt;Department of Pathology and Microbiology, University of Nebraska Medical Center, 983135 Nebraska Medical Center, Omaha, NE 68198-3135, USA. scohen@unmc.edu&lt;/auth-address&gt;&lt;titles&gt;&lt;title&gt;Urinary tract calculi and thresholds in carcinogenesis&lt;/title&gt;&lt;secondary-title&gt;Food Chem Toxicol&lt;/secondary-title&gt;&lt;/titles&gt;&lt;periodical&gt;&lt;full-title&gt;Food Chem Toxicol&lt;/full-title&gt;&lt;/periodical&gt;&lt;pages&gt;793-9&lt;/pages&gt;&lt;volume&gt;40&lt;/volume&gt;&lt;number&gt;6&lt;/number&gt;&lt;edition&gt;2002/05/02&lt;/edition&gt;&lt;keywords&gt;&lt;keyword&gt;Animals&lt;/keyword&gt;&lt;keyword&gt;Humans&lt;/keyword&gt;&lt;keyword&gt;Mice&lt;/keyword&gt;&lt;keyword&gt;Rats&lt;/keyword&gt;&lt;keyword&gt;Risk Assessment&lt;/keyword&gt;&lt;keyword&gt;Urinary Calculi/ complications/pathology&lt;/keyword&gt;&lt;keyword&gt;Urologic Neoplasms/epidemiology/ etiology/pathology&lt;/keyword&gt;&lt;/keywords&gt;&lt;dates&gt;&lt;year&gt;2002&lt;/year&gt;&lt;pub-dates&gt;&lt;date&gt;Jun&lt;/date&gt;&lt;/pub-dates&gt;&lt;/dates&gt;&lt;isbn&gt;0278-6915 (Print)&amp;#xD;0278-6915 (Linking)&lt;/isbn&gt;&lt;accession-num&gt;11983274&lt;/accession-num&gt;&lt;urls&gt;&lt;/urls&gt;&lt;electronic-resource-num&gt;S0278691502000200 [pii]&lt;/electronic-resource-num&gt;&lt;remote-database-provider&gt;Nlm&lt;/remote-database-provider&gt;&lt;language&gt;eng&lt;/language&gt;&lt;/record&gt;&lt;/Cite&gt;&lt;/EndNote&gt;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8" w:tooltip="Cohen, 2002 #18" w:history="1">
        <w:r w:rsidRPr="00B0704C">
          <w:rPr>
            <w:rFonts w:ascii="Times New Roman" w:eastAsia="Calibri" w:hAnsi="Times New Roman" w:cs="Times New Roman"/>
            <w:noProof/>
            <w:sz w:val="24"/>
            <w:szCs w:val="24"/>
            <w:lang w:val="fr-FR"/>
          </w:rPr>
          <w:t>8</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L’irritation chronique de l’urothélium par la lithiase vésicale serait l’effet carcinogène. Les tumeurs induites par cette inflammation chronique sont des carcinomes épidermoïdes de même nature que les tumeurs vésicales séquellaires de la schistosomiase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&lt;EndNote&gt;&lt;Cite&gt;&lt;Author&gt;Cohen&lt;/Author&gt;&lt;Year&gt;2002&lt;/Year&gt;&lt;RecNum&gt;18&lt;/RecNum&gt;&lt;DisplayText&gt;[8]&lt;/DisplayText&gt;&lt;record&gt;&lt;rec-number&gt;18&lt;/rec-number&gt;&lt;foreign-keys&gt;&lt;key app="EN" db-id="2aaeaz0wtsdssue0svn5wztaeveaxdde0zvf"&gt;18&lt;/key&gt;&lt;/foreign-keys&gt;&lt;ref-type name="Journal Article"&gt;17&lt;/ref-type&gt;&lt;contributors&gt;&lt;authors&gt;&lt;author&gt;Cohen, S. M.&lt;/author&gt;&lt;author&gt;Johansson, S. L.&lt;/author&gt;&lt;author&gt;Arnold, L. L.&lt;/author&gt;&lt;author&gt;Lawson, T. A.&lt;/author&gt;&lt;/authors&gt;&lt;/contributors&gt;&lt;auth-address&gt;Department of Pathology and Microbiology, University of Nebraska Medical Center, 983135 Nebraska Medical Center, Omaha, NE 68198-3135, USA. scohen@unmc.edu&lt;/auth-address&gt;&lt;titles&gt;&lt;title&gt;Urinary tract calculi and thresholds in carcinogenesis&lt;/title&gt;&lt;secondary-title&gt;Food Chem Toxicol&lt;/secondary-title&gt;&lt;/titles&gt;&lt;periodical&gt;&lt;full-title&gt;Food Chem Toxicol&lt;/full-title&gt;&lt;/periodical&gt;&lt;pages&gt;793-9&lt;/pages&gt;&lt;volume&gt;40&lt;/volume&gt;&lt;number&gt;6&lt;/number&gt;&lt;edition&gt;2002/05/02&lt;/edition&gt;&lt;keywords&gt;&lt;keyword&gt;Animals&lt;/keyword&gt;&lt;keyword&gt;Humans&lt;/keyword&gt;&lt;keyword&gt;Mice&lt;/keyword&gt;&lt;keyword&gt;Rats&lt;/keyword&gt;&lt;keyword&gt;Risk Assessment&lt;/keyword&gt;&lt;keyword&gt;Urinary Calculi/ complications/pathology&lt;/keyword&gt;&lt;keyword&gt;Urologic Neoplasms/epidemiology/ etiology/pathology&lt;/keyword&gt;&lt;/keywords&gt;&lt;dates&gt;&lt;year&gt;2002&lt;/year&gt;&lt;pub-dates&gt;&lt;date&gt;Jun&lt;/date&gt;&lt;/pub-dates&gt;&lt;/dates&gt;&lt;isbn&gt;0278-6915 (Print)&amp;#xD;0278-6915 (Linking)&lt;/isbn&gt;&lt;accession-num&gt;11983274&lt;/accession-num&gt;&lt;urls&gt;&lt;/urls&gt;&lt;electronic-resource-num&gt;S0278691502000200 [pii]&lt;/electronic-resource-num&gt;&lt;remote-database-provider&gt;Nlm&lt;/remote-database-provider&gt;&lt;language&gt;eng&lt;/language&gt;&lt;/record&gt;&lt;/Cite&gt;&lt;/EndNote&gt;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8" w:tooltip="Cohen, 2002 #18" w:history="1">
        <w:r w:rsidRPr="00B0704C">
          <w:rPr>
            <w:rFonts w:ascii="Times New Roman" w:eastAsia="Calibri" w:hAnsi="Times New Roman" w:cs="Times New Roman"/>
            <w:noProof/>
            <w:sz w:val="24"/>
            <w:szCs w:val="24"/>
            <w:lang w:val="fr-FR"/>
          </w:rPr>
          <w:t>8</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 xml:space="preserve">. L’analyse histologique du cas présenté dans la présente étude a retrouvé une tumeur de même nature avec une absence d’œufs de bilharzie dans la paroi vésicale.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Le patient aurait pu bénéficier d’une cystoprostatectomie avec dérivation urinaire. Bien qu’elle soit l’indication idéale, cette intervention ne pouvait être proposée si nous ne disposions du résultat histologique. Elle n’a pas été réalisée devant le refus du patient de subir une seconde intervention.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Le traitement de cette lithiase géante a consisté en une cystolithotomie. Il s’agit d’un abord idéal. Aucune autre méthode n’aurait permis l’extraction de cette lithiase. Pour certains auteurs malgré la multiplicité de moyens de traitement  toute lithiase vésicale de plus de 4 cm de grand  d’axe est justiciable d’une chirurgie ouverte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EN.CITE &lt;EndNote&gt;&lt;Cite&gt;&lt;Author&gt;Philippou&lt;/Author&gt;&lt;Year&gt;2012&lt;/Year&gt;&lt;RecNum&gt;26&lt;/RecNum&gt;&lt;DisplayText&gt;[4]&lt;/DisplayText&gt;&lt;record&gt;&lt;rec-number&gt;26&lt;/rec-number&gt;&lt;foreign-keys&gt;&lt;key app="EN" db-id="2aaeaz0wtsdssue0svn5wztaeveaxdde0zvf"&gt;26&lt;/key&gt;&lt;/foreign-keys&gt;&lt;ref-type name="Journal Article"&gt;17&lt;/ref-type&gt;&lt;contributors&gt;&lt;authors&gt;&lt;author&gt;Philippou, P.&lt;/author&gt;&lt;author&gt;Moraitis, K.&lt;/author&gt;&lt;author&gt;Masood, J.&lt;/author&gt;&lt;author&gt;Junaid, I.&lt;/author&gt;&lt;author&gt;Buchholz, N.&lt;/author&gt;&lt;/authors&gt;&lt;/contributors&gt;&lt;auth-address&gt;Endourology &amp;amp; Stone Services, Barts and The London NHS Trust, West Smithfield, London, UK.&lt;/auth-address&gt;&lt;titles&gt;&lt;title&gt;The management of bladder lithiasis in the modern era of endourology&lt;/title&gt;&lt;secondary-title&gt;Urology&lt;/secondary-title&gt;&lt;/titles&gt;&lt;periodical&gt;&lt;full-title&gt;Urology&lt;/full-title&gt;&lt;/periodical&gt;&lt;pages&gt;980-6&lt;/pages&gt;&lt;volume&gt;79&lt;/volume&gt;&lt;number&gt;5&lt;/number&gt;&lt;edition&gt;2011/11/29&lt;/edition&gt;&lt;keywords&gt;&lt;keyword&gt;Humans&lt;/keyword&gt;&lt;keyword&gt;Lithotripsy&lt;/keyword&gt;&lt;keyword&gt;Male&lt;/keyword&gt;&lt;keyword&gt;Prostatic Hyperplasia/complications/surgery&lt;/keyword&gt;&lt;keyword&gt;Urinary Bladder Calculi/complications/surgery/ therapy&lt;/keyword&gt;&lt;keyword&gt;Urinary Bladder Neck Obstruction/etiology/surgery&lt;/keyword&gt;&lt;/keywords&gt;&lt;dates&gt;&lt;year&gt;2012&lt;/year&gt;&lt;pub-dates&gt;&lt;date&gt;May&lt;/date&gt;&lt;/pub-dates&gt;&lt;/dates&gt;&lt;isbn&gt;1527-9995 (Electronic)&amp;#xD;0090-4295 (Linking)&lt;/isbn&gt;&lt;accession-num&gt;22119259&lt;/accession-num&gt;&lt;urls&gt;&lt;/urls&gt;&lt;electronic-resource-num&gt;S0090-4295(11)02363-6 [pii]&amp;#xD;10.1016/j.urology.2011.09.014 [doi]&lt;/electronic-resource-num&gt;&lt;remote-database-provider&gt;Nlm&lt;/remote-database-provider&gt;&lt;language&gt;eng&lt;/language&gt;&lt;/record&gt;&lt;/Cite&gt;&lt;/EndNote&gt;</w:instrText>
      </w:r>
      <w:r w:rsidRPr="00B0704C">
        <w:rPr>
          <w:rFonts w:ascii="Times New Roman" w:eastAsia="Calibri" w:hAnsi="Times New Roman" w:cs="Times New Roman"/>
          <w:sz w:val="24"/>
          <w:szCs w:val="24"/>
          <w:lang w:val="fr-FR"/>
        </w:rPr>
        <w:fldChar w:fldCharType="separate"/>
      </w:r>
      <w:r w:rsidRPr="00B0704C">
        <w:rPr>
          <w:rFonts w:ascii="Times New Roman" w:eastAsia="Calibri" w:hAnsi="Times New Roman" w:cs="Times New Roman"/>
          <w:noProof/>
          <w:sz w:val="24"/>
          <w:szCs w:val="24"/>
          <w:lang w:val="fr-FR"/>
        </w:rPr>
        <w:t>[</w:t>
      </w:r>
      <w:hyperlink w:anchor="_ENREF_4" w:tooltip="Philippou, 2012 #26" w:history="1">
        <w:r w:rsidRPr="00B0704C">
          <w:rPr>
            <w:rFonts w:ascii="Times New Roman" w:eastAsia="Calibri" w:hAnsi="Times New Roman" w:cs="Times New Roman"/>
            <w:noProof/>
            <w:sz w:val="24"/>
            <w:szCs w:val="24"/>
            <w:lang w:val="fr-FR"/>
          </w:rPr>
          <w:t>4</w:t>
        </w:r>
      </w:hyperlink>
      <w:r w:rsidRPr="00B0704C">
        <w:rPr>
          <w:rFonts w:ascii="Times New Roman" w:eastAsia="Calibri" w:hAnsi="Times New Roman" w:cs="Times New Roman"/>
          <w:noProof/>
          <w:sz w:val="24"/>
          <w:szCs w:val="24"/>
          <w:lang w:val="fr-FR"/>
        </w:rPr>
        <w:t>]</w:t>
      </w:r>
      <w:r w:rsidRPr="00B0704C">
        <w:rPr>
          <w:rFonts w:ascii="Times New Roman" w:eastAsia="Calibri" w:hAnsi="Times New Roman" w:cs="Times New Roman"/>
          <w:sz w:val="24"/>
          <w:szCs w:val="24"/>
          <w:lang w:val="fr-FR"/>
        </w:rPr>
        <w:fldChar w:fldCharType="end"/>
      </w:r>
      <w:r w:rsidRPr="00B0704C">
        <w:rPr>
          <w:rFonts w:ascii="Times New Roman" w:eastAsia="Calibri" w:hAnsi="Times New Roman" w:cs="Times New Roman"/>
          <w:sz w:val="24"/>
          <w:szCs w:val="24"/>
          <w:lang w:val="fr-FR"/>
        </w:rPr>
        <w:t>.</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b/>
          <w:sz w:val="24"/>
          <w:szCs w:val="24"/>
          <w:lang w:val="fr-FR"/>
        </w:rPr>
        <w:t>Conclusion</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t xml:space="preserve">La lithiase vésicale géante est une pathologie rare dans l’urologie moderne. Elle peut exister en dehors de tout trouble à l’évacuation des urines. Sa prise en charge nécessite des biopsies de la vessie pour une analyse histologique afin de ne pas méconnaître une néoplasie maligne peu symptomatique. L’énormité de son volume laisse la chirurgie ouverte comme seule moyen thérapeutique.  </w:t>
      </w: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48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r w:rsidRPr="00B0704C">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60288" behindDoc="0" locked="0" layoutInCell="1" allowOverlap="1" wp14:anchorId="47D85D6B" wp14:editId="5284B1EE">
                <wp:simplePos x="0" y="0"/>
                <wp:positionH relativeFrom="column">
                  <wp:posOffset>3482975</wp:posOffset>
                </wp:positionH>
                <wp:positionV relativeFrom="paragraph">
                  <wp:posOffset>2912110</wp:posOffset>
                </wp:positionV>
                <wp:extent cx="643890" cy="278130"/>
                <wp:effectExtent l="0" t="0" r="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62D5" w:rsidRDefault="00D562D5" w:rsidP="00D562D5">
                            <w:r>
                              <w:t>Lithiase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85D6B" id="_x0000_t202" coordsize="21600,21600" o:spt="202" path="m,l,21600r21600,l21600,xe">
                <v:stroke joinstyle="miter"/>
                <v:path gradientshapeok="t" o:connecttype="rect"/>
              </v:shapetype>
              <v:shape id="Text Box 4" o:spid="_x0000_s1026" type="#_x0000_t202" style="position:absolute;left:0;text-align:left;margin-left:274.25pt;margin-top:229.3pt;width:50.7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Jqgg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" stroked="f">
                <v:textbox>
                  <w:txbxContent>
                    <w:p w:rsidR="00D562D5" w:rsidRDefault="00D562D5" w:rsidP="00D562D5">
                      <w:r>
                        <w:t>Lithiase</w:t>
                      </w:r>
                    </w:p>
                  </w:txbxContent>
                </v:textbox>
              </v:shape>
            </w:pict>
          </mc:Fallback>
        </mc:AlternateContent>
      </w:r>
      <w:r w:rsidRPr="00B0704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47AACC0E" wp14:editId="7E6311B2">
                <wp:simplePos x="0" y="0"/>
                <wp:positionH relativeFrom="column">
                  <wp:posOffset>1860550</wp:posOffset>
                </wp:positionH>
                <wp:positionV relativeFrom="paragraph">
                  <wp:posOffset>3047365</wp:posOffset>
                </wp:positionV>
                <wp:extent cx="1574165" cy="15875"/>
                <wp:effectExtent l="22225" t="37465" r="13335" b="60960"/>
                <wp:wrapNone/>
                <wp:docPr id="10737419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165"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436614" id="_x0000_t32" coordsize="21600,21600" o:spt="32" o:oned="t" path="m,l21600,21600e" filled="f">
                <v:path arrowok="t" fillok="f" o:connecttype="none"/>
                <o:lock v:ext="edit" shapetype="t"/>
              </v:shapetype>
              <v:shape id="AutoShape 3" o:spid="_x0000_s1026" type="#_x0000_t32" style="position:absolute;margin-left:146.5pt;margin-top:239.95pt;width:123.95pt;height:1.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">
                <v:stroke endarrow="block"/>
              </v:shape>
            </w:pict>
          </mc:Fallback>
        </mc:AlternateContent>
      </w:r>
      <w:r w:rsidRPr="00B0704C">
        <w:rPr>
          <w:rFonts w:ascii="Times New Roman" w:eastAsia="Times New Roman" w:hAnsi="Times New Roman" w:cs="Times New Roman"/>
          <w:noProof/>
          <w:sz w:val="24"/>
          <w:szCs w:val="24"/>
          <w:lang w:eastAsia="en-GB"/>
        </w:rPr>
        <w:drawing>
          <wp:inline distT="0" distB="0" distL="0" distR="0" wp14:anchorId="39AAC6FC" wp14:editId="67A08BFC">
            <wp:extent cx="3076575" cy="4133850"/>
            <wp:effectExtent l="0" t="0" r="0" b="0"/>
            <wp:docPr id="1073741927" name="officeArt object" descr="images 19-08-12 011"/>
            <wp:cNvGraphicFramePr/>
            <a:graphic xmlns:a="http://schemas.openxmlformats.org/drawingml/2006/main">
              <a:graphicData uri="http://schemas.openxmlformats.org/drawingml/2006/picture">
                <pic:pic xmlns:pic="http://schemas.openxmlformats.org/drawingml/2006/picture">
                  <pic:nvPicPr>
                    <pic:cNvPr id="1073741827" name="images 19-08-12 011" descr="images 19-08-12 011"/>
                    <pic:cNvPicPr>
                      <a:picLocks noChangeAspect="1"/>
                    </pic:cNvPicPr>
                  </pic:nvPicPr>
                  <pic:blipFill>
                    <a:blip r:embed="rId8" cstate="print"/>
                    <a:srcRect l="16957" r="29355" b="3748"/>
                    <a:stretch>
                      <a:fillRect/>
                    </a:stretch>
                  </pic:blipFill>
                  <pic:spPr>
                    <a:xfrm>
                      <a:off x="0" y="0"/>
                      <a:ext cx="3076575" cy="4133850"/>
                    </a:xfrm>
                    <a:prstGeom prst="rect">
                      <a:avLst/>
                    </a:prstGeom>
                    <a:ln w="12700" cap="flat">
                      <a:noFill/>
                      <a:miter lim="400000"/>
                    </a:ln>
                    <a:effectLst/>
                  </pic:spPr>
                </pic:pic>
              </a:graphicData>
            </a:graphic>
          </wp:inline>
        </w:drawing>
      </w:r>
    </w:p>
    <w:p w:rsidR="00D562D5" w:rsidRPr="00617C19" w:rsidRDefault="00D562D5" w:rsidP="00D562D5">
      <w:pPr>
        <w:spacing w:after="0" w:line="360" w:lineRule="auto"/>
        <w:jc w:val="both"/>
        <w:rPr>
          <w:rFonts w:ascii="Times New Roman" w:eastAsia="Calibri" w:hAnsi="Times New Roman" w:cs="Times New Roman"/>
          <w:b/>
          <w:sz w:val="24"/>
          <w:szCs w:val="24"/>
          <w:lang w:val="fr-FR"/>
        </w:rPr>
      </w:pPr>
      <w:r w:rsidRPr="00617C19">
        <w:rPr>
          <w:rFonts w:ascii="Times New Roman" w:eastAsia="Calibri" w:hAnsi="Times New Roman" w:cs="Times New Roman"/>
          <w:b/>
          <w:sz w:val="24"/>
          <w:szCs w:val="24"/>
          <w:lang w:val="fr-FR"/>
        </w:rPr>
        <w:t xml:space="preserve">Figure1 : Radiographie de l’abdomen sans préparation </w:t>
      </w:r>
    </w:p>
    <w:p w:rsidR="00D562D5" w:rsidRPr="00617C19" w:rsidRDefault="00D562D5" w:rsidP="00D562D5">
      <w:pPr>
        <w:spacing w:after="0" w:line="360" w:lineRule="auto"/>
        <w:jc w:val="both"/>
        <w:rPr>
          <w:rFonts w:ascii="Times New Roman" w:eastAsia="Calibri" w:hAnsi="Times New Roman" w:cs="Times New Roman"/>
          <w:b/>
          <w:sz w:val="24"/>
          <w:szCs w:val="24"/>
          <w:lang w:val="fr-FR"/>
        </w:rPr>
      </w:pPr>
      <w:r w:rsidRPr="00617C19">
        <w:rPr>
          <w:rFonts w:ascii="Times New Roman" w:eastAsia="Calibri" w:hAnsi="Times New Roman" w:cs="Times New Roman"/>
          <w:b/>
          <w:sz w:val="24"/>
          <w:szCs w:val="24"/>
          <w:lang w:val="fr-FR"/>
        </w:rPr>
        <w:t xml:space="preserve">debout montrant la lithiase </w:t>
      </w: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0" w:line="360" w:lineRule="auto"/>
        <w:jc w:val="both"/>
        <w:rPr>
          <w:rFonts w:ascii="Times New Roman" w:eastAsia="Calibri" w:hAnsi="Times New Roman" w:cs="Times New Roman"/>
          <w:sz w:val="24"/>
          <w:szCs w:val="24"/>
          <w:lang w:val="fr-FR"/>
        </w:rPr>
      </w:pPr>
      <w:r w:rsidRPr="00B0704C">
        <w:rPr>
          <w:rFonts w:ascii="Calibri" w:eastAsia="Calibri" w:hAnsi="Calibri" w:cs="Times New Roman"/>
          <w:noProof/>
          <w:lang w:eastAsia="en-GB"/>
        </w:rPr>
        <w:drawing>
          <wp:inline distT="0" distB="0" distL="0" distR="0" wp14:anchorId="1527259B" wp14:editId="19DA63BB">
            <wp:extent cx="3154045" cy="2210435"/>
            <wp:effectExtent l="0" t="0" r="8255" b="0"/>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pic:nvPicPr>
                  <pic:blipFill>
                    <a:blip r:embed="rId9" cstate="print"/>
                    <a:srcRect r="44934" b="26697"/>
                    <a:stretch>
                      <a:fillRect/>
                    </a:stretch>
                  </pic:blipFill>
                  <pic:spPr>
                    <a:xfrm>
                      <a:off x="0" y="0"/>
                      <a:ext cx="3154045" cy="2210435"/>
                    </a:xfrm>
                    <a:prstGeom prst="rect">
                      <a:avLst/>
                    </a:prstGeom>
                    <a:ln w="12700" cap="flat">
                      <a:noFill/>
                      <a:miter lim="400000"/>
                    </a:ln>
                    <a:effectLst/>
                  </pic:spPr>
                </pic:pic>
              </a:graphicData>
            </a:graphic>
          </wp:inline>
        </w:drawing>
      </w:r>
    </w:p>
    <w:p w:rsidR="00D562D5" w:rsidRPr="00617C19" w:rsidRDefault="00D562D5" w:rsidP="00D562D5">
      <w:pPr>
        <w:spacing w:after="0" w:line="360" w:lineRule="auto"/>
        <w:jc w:val="both"/>
        <w:rPr>
          <w:rFonts w:ascii="Times New Roman" w:eastAsia="Calibri" w:hAnsi="Times New Roman" w:cs="Times New Roman"/>
          <w:b/>
          <w:sz w:val="24"/>
          <w:szCs w:val="24"/>
          <w:lang w:val="fr-FR"/>
        </w:rPr>
      </w:pPr>
      <w:r w:rsidRPr="00617C19">
        <w:rPr>
          <w:rFonts w:ascii="Times New Roman" w:eastAsia="Calibri" w:hAnsi="Times New Roman" w:cs="Times New Roman"/>
          <w:b/>
          <w:sz w:val="24"/>
          <w:szCs w:val="24"/>
          <w:lang w:val="fr-FR"/>
        </w:rPr>
        <w:t>Figure 2 : Lithiase après la cystolithotomie (13x10 cm)</w:t>
      </w:r>
    </w:p>
    <w:p w:rsidR="00D562D5" w:rsidRPr="00B0704C" w:rsidRDefault="00D562D5" w:rsidP="00D562D5">
      <w:pPr>
        <w:spacing w:after="0" w:line="360" w:lineRule="auto"/>
        <w:jc w:val="both"/>
        <w:rPr>
          <w:rFonts w:ascii="Times New Roman" w:eastAsia="Calibri" w:hAnsi="Times New Roman" w:cs="Times New Roman"/>
          <w:sz w:val="24"/>
          <w:szCs w:val="24"/>
          <w:lang w:val="fr-FR"/>
        </w:rPr>
      </w:pPr>
    </w:p>
    <w:p w:rsidR="00D562D5" w:rsidRPr="00B0704C" w:rsidRDefault="00D562D5" w:rsidP="00D562D5">
      <w:pPr>
        <w:spacing w:after="160" w:line="259" w:lineRule="auto"/>
        <w:rPr>
          <w:rFonts w:ascii="Times New Roman" w:eastAsia="Calibri" w:hAnsi="Times New Roman" w:cs="Times New Roman"/>
          <w:sz w:val="24"/>
          <w:szCs w:val="24"/>
          <w:lang w:val="fr-FR"/>
        </w:rPr>
      </w:pPr>
      <w:r w:rsidRPr="00B0704C">
        <w:rPr>
          <w:rFonts w:ascii="Times New Roman" w:eastAsia="Calibri" w:hAnsi="Times New Roman" w:cs="Times New Roman"/>
          <w:sz w:val="24"/>
          <w:szCs w:val="24"/>
          <w:lang w:val="fr-FR"/>
        </w:rPr>
        <w:br w:type="page"/>
      </w:r>
    </w:p>
    <w:p w:rsidR="00D562D5" w:rsidRPr="00B0704C" w:rsidRDefault="00D562D5" w:rsidP="00D562D5">
      <w:pPr>
        <w:spacing w:after="160" w:line="259" w:lineRule="auto"/>
        <w:rPr>
          <w:rFonts w:ascii="Times New Roman" w:eastAsia="Calibri" w:hAnsi="Times New Roman" w:cs="Times New Roman"/>
          <w:sz w:val="24"/>
          <w:szCs w:val="24"/>
          <w:lang w:val="fr-FR"/>
        </w:rPr>
      </w:pPr>
      <w:r w:rsidRPr="00B0704C">
        <w:rPr>
          <w:rFonts w:ascii="Times New Roman" w:eastAsia="Calibri" w:hAnsi="Times New Roman" w:cs="Times New Roman"/>
          <w:noProof/>
          <w:sz w:val="24"/>
          <w:szCs w:val="24"/>
          <w:lang w:eastAsia="en-GB"/>
        </w:rPr>
        <w:lastRenderedPageBreak/>
        <w:drawing>
          <wp:anchor distT="0" distB="0" distL="114300" distR="114300" simplePos="0" relativeHeight="251661312" behindDoc="0" locked="0" layoutInCell="1" allowOverlap="1" wp14:anchorId="6A30CE27" wp14:editId="6D61AA79">
            <wp:simplePos x="0" y="0"/>
            <wp:positionH relativeFrom="column">
              <wp:align>left</wp:align>
            </wp:positionH>
            <wp:positionV relativeFrom="paragraph">
              <wp:align>top</wp:align>
            </wp:positionV>
            <wp:extent cx="4076700" cy="2952750"/>
            <wp:effectExtent l="0" t="0" r="0" b="0"/>
            <wp:wrapSquare wrapText="bothSides"/>
            <wp:docPr id="10737419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extLst>
                        <a:ext uri="{28A0092B-C50C-407E-A947-70E740481C1C}">
                          <a14:useLocalDpi xmlns:a14="http://schemas.microsoft.com/office/drawing/2010/main" val="0"/>
                        </a:ext>
                      </a:extLst>
                    </a:blip>
                    <a:srcRect l="9603" t="31567" r="19536"/>
                    <a:stretch>
                      <a:fillRect/>
                    </a:stretch>
                  </pic:blipFill>
                  <pic:spPr bwMode="auto">
                    <a:xfrm>
                      <a:off x="0" y="0"/>
                      <a:ext cx="4076700" cy="2952750"/>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lang w:val="fr-FR"/>
        </w:rPr>
        <w:br w:type="textWrapping" w:clear="all"/>
      </w:r>
    </w:p>
    <w:p w:rsidR="00D562D5" w:rsidRPr="00B0704C" w:rsidRDefault="00D562D5" w:rsidP="00D562D5">
      <w:pPr>
        <w:spacing w:after="160" w:line="480" w:lineRule="auto"/>
        <w:rPr>
          <w:rFonts w:ascii="Times New Roman" w:eastAsia="Calibri" w:hAnsi="Times New Roman" w:cs="Times New Roman"/>
          <w:sz w:val="24"/>
          <w:szCs w:val="24"/>
          <w:lang w:val="fr-FR"/>
        </w:rPr>
      </w:pPr>
      <w:r w:rsidRPr="00B0704C">
        <w:rPr>
          <w:rFonts w:ascii="Times New Roman" w:eastAsia="Calibri" w:hAnsi="Times New Roman" w:cs="Times New Roman"/>
          <w:b/>
          <w:sz w:val="24"/>
          <w:szCs w:val="24"/>
          <w:lang w:val="fr-FR"/>
        </w:rPr>
        <w:t>Fort grossissement (x400)</w:t>
      </w:r>
      <w:r w:rsidRPr="00617C19">
        <w:rPr>
          <w:rFonts w:ascii="Times New Roman" w:eastAsia="Calibri" w:hAnsi="Times New Roman" w:cs="Times New Roman"/>
          <w:b/>
          <w:sz w:val="24"/>
          <w:szCs w:val="24"/>
          <w:lang w:val="fr-FR"/>
        </w:rPr>
        <w:t xml:space="preserve"> montrant les détails cellulaires : cellules polygonales ou ovalaires de grande taille, à cytoplasme légèrement éosinophile et à noyaux volumineux, à chromatine dispersée avec nucléole proéminent. </w:t>
      </w:r>
    </w:p>
    <w:p w:rsidR="00D562D5" w:rsidRPr="00B0704C" w:rsidRDefault="00D562D5" w:rsidP="00D562D5">
      <w:pPr>
        <w:spacing w:after="160" w:line="259" w:lineRule="auto"/>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jc w:val="center"/>
        <w:rPr>
          <w:rFonts w:ascii="Times New Roman" w:eastAsia="Calibri" w:hAnsi="Times New Roman" w:cs="Times New Roman"/>
          <w:sz w:val="24"/>
          <w:szCs w:val="24"/>
          <w:lang w:val="fr-FR"/>
        </w:rPr>
      </w:pPr>
    </w:p>
    <w:p w:rsidR="00D562D5" w:rsidRPr="00B0704C" w:rsidRDefault="00D562D5" w:rsidP="00D562D5">
      <w:pPr>
        <w:spacing w:after="0" w:line="259" w:lineRule="auto"/>
        <w:rPr>
          <w:rFonts w:ascii="Times New Roman" w:eastAsia="Calibri" w:hAnsi="Times New Roman" w:cs="Times New Roman"/>
          <w:sz w:val="24"/>
          <w:szCs w:val="24"/>
          <w:lang w:val="fr-FR"/>
        </w:rPr>
      </w:pPr>
    </w:p>
    <w:p w:rsidR="00D562D5" w:rsidRPr="00B0704C" w:rsidRDefault="00D562D5" w:rsidP="00D562D5">
      <w:pPr>
        <w:spacing w:after="0" w:line="480" w:lineRule="auto"/>
        <w:rPr>
          <w:rFonts w:ascii="Times New Roman" w:eastAsia="Calibri" w:hAnsi="Times New Roman" w:cs="Times New Roman"/>
          <w:b/>
          <w:noProof/>
          <w:sz w:val="24"/>
          <w:szCs w:val="24"/>
          <w:lang w:val="fr-FR"/>
        </w:rPr>
      </w:pPr>
      <w:r w:rsidRPr="00617C19">
        <w:rPr>
          <w:rFonts w:ascii="Times New Roman" w:eastAsia="Calibri" w:hAnsi="Times New Roman" w:cs="Times New Roman"/>
          <w:b/>
          <w:sz w:val="24"/>
          <w:szCs w:val="24"/>
          <w:lang w:val="fr-FR"/>
        </w:rPr>
        <w:t>Références</w:t>
      </w:r>
      <w:r w:rsidRPr="00617C19">
        <w:rPr>
          <w:rFonts w:ascii="Times New Roman" w:eastAsia="Calibri" w:hAnsi="Times New Roman" w:cs="Times New Roman"/>
          <w:sz w:val="24"/>
          <w:szCs w:val="24"/>
          <w:lang w:val="fr-FR"/>
        </w:rPr>
        <w:t xml:space="preserve"> </w:t>
      </w:r>
      <w:r w:rsidRPr="00B0704C">
        <w:rPr>
          <w:rFonts w:ascii="Times New Roman" w:eastAsia="Calibri" w:hAnsi="Times New Roman" w:cs="Times New Roman"/>
          <w:sz w:val="24"/>
          <w:szCs w:val="24"/>
          <w:lang w:val="fr-FR"/>
        </w:rPr>
        <w:fldChar w:fldCharType="begin"/>
      </w:r>
      <w:r w:rsidRPr="00B0704C">
        <w:rPr>
          <w:rFonts w:ascii="Times New Roman" w:eastAsia="Calibri" w:hAnsi="Times New Roman" w:cs="Times New Roman"/>
          <w:sz w:val="24"/>
          <w:szCs w:val="24"/>
          <w:lang w:val="fr-FR"/>
        </w:rPr>
        <w:instrText xml:space="preserve"> ADDIN EN.REFLIST </w:instrText>
      </w:r>
      <w:r w:rsidRPr="00B0704C">
        <w:rPr>
          <w:rFonts w:ascii="Times New Roman" w:eastAsia="Calibri" w:hAnsi="Times New Roman" w:cs="Times New Roman"/>
          <w:sz w:val="24"/>
          <w:szCs w:val="24"/>
          <w:lang w:val="fr-FR"/>
        </w:rPr>
        <w:fldChar w:fldCharType="separate"/>
      </w:r>
    </w:p>
    <w:p w:rsidR="00D562D5" w:rsidRPr="00B0704C" w:rsidRDefault="00D562D5" w:rsidP="00D562D5">
      <w:pPr>
        <w:spacing w:after="360" w:line="480" w:lineRule="auto"/>
        <w:jc w:val="both"/>
        <w:rPr>
          <w:rFonts w:ascii="Times New Roman" w:eastAsia="Calibri" w:hAnsi="Times New Roman" w:cs="Times New Roman"/>
          <w:noProof/>
          <w:sz w:val="24"/>
          <w:szCs w:val="24"/>
        </w:rPr>
      </w:pPr>
      <w:r w:rsidRPr="00B0704C">
        <w:rPr>
          <w:rFonts w:ascii="Times New Roman" w:eastAsia="Calibri" w:hAnsi="Times New Roman" w:cs="Times New Roman"/>
          <w:noProof/>
          <w:sz w:val="24"/>
          <w:szCs w:val="24"/>
          <w:lang w:val="fr-FR"/>
        </w:rPr>
        <w:t xml:space="preserve">1. Kabore FA, Kambou T, Zango B, Ouattara A, Simpore M, Lougue-Sorgho C, et al. </w:t>
      </w:r>
      <w:r w:rsidRPr="00B0704C">
        <w:rPr>
          <w:rFonts w:ascii="Times New Roman" w:eastAsia="Calibri" w:hAnsi="Times New Roman" w:cs="Times New Roman"/>
          <w:noProof/>
          <w:sz w:val="24"/>
          <w:szCs w:val="24"/>
        </w:rPr>
        <w:t>Epidemiology of a cohort of 450 urolithiasis at the Yalgado Ouedraogo university hospital of Ouagadougou (Burkina Faso)]. Prog Urol. 2013;23:971-6.</w:t>
      </w:r>
    </w:p>
    <w:p w:rsidR="00D562D5" w:rsidRPr="00B0704C" w:rsidRDefault="00D562D5" w:rsidP="00D562D5">
      <w:pPr>
        <w:spacing w:after="360" w:line="480" w:lineRule="auto"/>
        <w:jc w:val="both"/>
        <w:rPr>
          <w:rFonts w:ascii="Times New Roman" w:eastAsia="Calibri" w:hAnsi="Times New Roman" w:cs="Times New Roman"/>
          <w:noProof/>
          <w:sz w:val="24"/>
          <w:szCs w:val="24"/>
        </w:rPr>
      </w:pPr>
      <w:r w:rsidRPr="00B0704C">
        <w:rPr>
          <w:rFonts w:ascii="Times New Roman" w:eastAsia="Calibri" w:hAnsi="Times New Roman" w:cs="Times New Roman"/>
          <w:noProof/>
          <w:sz w:val="24"/>
          <w:szCs w:val="24"/>
        </w:rPr>
        <w:t>2. Gallego Vilar D, Beltran Persiva J, Perez Mestre M, Povo Martin IJ, Miralles Aguado J, Garau Perello C, et al. Giant bladder lithiasis: case report and bibliographic review. Arch Esp Urol. 2011;64:383-7.</w:t>
      </w:r>
    </w:p>
    <w:p w:rsidR="00D562D5" w:rsidRPr="00B0704C" w:rsidRDefault="00D562D5" w:rsidP="00D562D5">
      <w:pPr>
        <w:spacing w:after="360" w:line="480" w:lineRule="auto"/>
        <w:jc w:val="both"/>
        <w:rPr>
          <w:rFonts w:ascii="Times New Roman" w:eastAsia="Calibri" w:hAnsi="Times New Roman" w:cs="Times New Roman"/>
          <w:noProof/>
          <w:sz w:val="24"/>
          <w:szCs w:val="24"/>
        </w:rPr>
      </w:pPr>
      <w:r w:rsidRPr="00B0704C">
        <w:rPr>
          <w:rFonts w:ascii="Times New Roman" w:eastAsia="Calibri" w:hAnsi="Times New Roman" w:cs="Times New Roman"/>
          <w:noProof/>
          <w:sz w:val="24"/>
          <w:szCs w:val="24"/>
        </w:rPr>
        <w:t>3. Aliyu S, Ali N, Ibrahim AG. Giant vesical calculus. Niger J Med. 2013;22:148-50.</w:t>
      </w:r>
    </w:p>
    <w:p w:rsidR="00D562D5" w:rsidRPr="00B0704C" w:rsidRDefault="00D562D5" w:rsidP="00D562D5">
      <w:pPr>
        <w:spacing w:after="360" w:line="480" w:lineRule="auto"/>
        <w:jc w:val="both"/>
        <w:rPr>
          <w:rFonts w:ascii="Times New Roman" w:eastAsia="Calibri" w:hAnsi="Times New Roman" w:cs="Times New Roman"/>
          <w:noProof/>
          <w:sz w:val="24"/>
          <w:szCs w:val="24"/>
        </w:rPr>
      </w:pPr>
      <w:r w:rsidRPr="00B0704C">
        <w:rPr>
          <w:rFonts w:ascii="Times New Roman" w:eastAsia="Calibri" w:hAnsi="Times New Roman" w:cs="Times New Roman"/>
          <w:noProof/>
          <w:sz w:val="24"/>
          <w:szCs w:val="24"/>
        </w:rPr>
        <w:t>4. Philippou P, Moraitis K, Masood J, Junaid I, Buchholz N. The management of bladder lithiasis in the modern era of endourology. Urology. 2012;79:980-6.</w:t>
      </w:r>
    </w:p>
    <w:p w:rsidR="00D562D5" w:rsidRPr="00B0704C" w:rsidRDefault="00D562D5" w:rsidP="00D562D5">
      <w:pPr>
        <w:spacing w:after="360" w:line="480" w:lineRule="auto"/>
        <w:jc w:val="both"/>
        <w:rPr>
          <w:rFonts w:ascii="Times New Roman" w:eastAsia="Calibri" w:hAnsi="Times New Roman" w:cs="Times New Roman"/>
          <w:noProof/>
          <w:sz w:val="24"/>
          <w:szCs w:val="24"/>
        </w:rPr>
      </w:pPr>
      <w:r w:rsidRPr="00B0704C">
        <w:rPr>
          <w:rFonts w:ascii="Times New Roman" w:eastAsia="Calibri" w:hAnsi="Times New Roman" w:cs="Times New Roman"/>
          <w:noProof/>
          <w:sz w:val="24"/>
          <w:szCs w:val="24"/>
        </w:rPr>
        <w:t>5. Tahtali IN, Karatas T. Giant bladder stone: A case report and review of the literature. Turk J Urol. 2014;40:189-91.</w:t>
      </w:r>
    </w:p>
    <w:p w:rsidR="00D562D5" w:rsidRPr="00B0704C" w:rsidRDefault="00D562D5" w:rsidP="00D562D5">
      <w:pPr>
        <w:spacing w:after="360" w:line="480" w:lineRule="auto"/>
        <w:jc w:val="both"/>
        <w:rPr>
          <w:rFonts w:ascii="Times New Roman" w:eastAsia="Calibri" w:hAnsi="Times New Roman" w:cs="Times New Roman"/>
          <w:noProof/>
          <w:sz w:val="24"/>
          <w:szCs w:val="24"/>
          <w:lang w:val="fr-FR"/>
        </w:rPr>
      </w:pPr>
      <w:r w:rsidRPr="00B0704C">
        <w:rPr>
          <w:rFonts w:ascii="Times New Roman" w:eastAsia="Calibri" w:hAnsi="Times New Roman" w:cs="Times New Roman"/>
          <w:noProof/>
          <w:sz w:val="24"/>
          <w:szCs w:val="24"/>
        </w:rPr>
        <w:t xml:space="preserve">6. Bichler KH, Eipper E, Naber K. [Infection-induced urinary stones]. </w:t>
      </w:r>
      <w:r w:rsidRPr="00B0704C">
        <w:rPr>
          <w:rFonts w:ascii="Times New Roman" w:eastAsia="Calibri" w:hAnsi="Times New Roman" w:cs="Times New Roman"/>
          <w:noProof/>
          <w:sz w:val="24"/>
          <w:szCs w:val="24"/>
          <w:lang w:val="fr-FR"/>
        </w:rPr>
        <w:t>Urologe A. 2003;42:47-55.</w:t>
      </w:r>
    </w:p>
    <w:p w:rsidR="00D562D5" w:rsidRPr="00B0704C" w:rsidRDefault="00D562D5" w:rsidP="00D562D5">
      <w:pPr>
        <w:spacing w:after="360" w:line="480" w:lineRule="auto"/>
        <w:jc w:val="both"/>
        <w:rPr>
          <w:rFonts w:ascii="Times New Roman" w:eastAsia="Calibri" w:hAnsi="Times New Roman" w:cs="Times New Roman"/>
          <w:noProof/>
          <w:sz w:val="24"/>
          <w:szCs w:val="24"/>
        </w:rPr>
      </w:pPr>
      <w:r w:rsidRPr="00B0704C">
        <w:rPr>
          <w:rFonts w:ascii="Times New Roman" w:eastAsia="Calibri" w:hAnsi="Times New Roman" w:cs="Times New Roman"/>
          <w:noProof/>
          <w:sz w:val="24"/>
          <w:szCs w:val="24"/>
          <w:lang w:val="fr-FR"/>
        </w:rPr>
        <w:t xml:space="preserve">7. Dessombz A, Kirakoya B, Coulibaly G, Ouedraogo RW, Picaut L, Weil R, et al. </w:t>
      </w:r>
      <w:r w:rsidRPr="00B0704C">
        <w:rPr>
          <w:rFonts w:ascii="Times New Roman" w:eastAsia="Calibri" w:hAnsi="Times New Roman" w:cs="Times New Roman"/>
          <w:noProof/>
          <w:sz w:val="24"/>
          <w:szCs w:val="24"/>
        </w:rPr>
        <w:t>High Prevalence of Opaline Silica in Urinary Stones From Burkina Faso. Urology. 2015;86:1090-96.</w:t>
      </w:r>
    </w:p>
    <w:p w:rsidR="00D562D5" w:rsidRPr="00B0704C" w:rsidRDefault="00D562D5" w:rsidP="00D562D5">
      <w:pPr>
        <w:spacing w:after="0" w:line="480" w:lineRule="auto"/>
        <w:jc w:val="both"/>
        <w:rPr>
          <w:rFonts w:ascii="Times New Roman" w:eastAsia="Calibri" w:hAnsi="Times New Roman" w:cs="Times New Roman"/>
          <w:noProof/>
          <w:sz w:val="24"/>
          <w:szCs w:val="24"/>
          <w:lang w:val="fr-FR"/>
        </w:rPr>
      </w:pPr>
      <w:r w:rsidRPr="00B0704C">
        <w:rPr>
          <w:rFonts w:ascii="Times New Roman" w:eastAsia="Calibri" w:hAnsi="Times New Roman" w:cs="Times New Roman"/>
          <w:noProof/>
          <w:sz w:val="24"/>
          <w:szCs w:val="24"/>
        </w:rPr>
        <w:t>8. Cohen SM, Johansson SL, Arnold LL, Lawson TA. Urinar</w:t>
      </w:r>
      <w:bookmarkStart w:id="0" w:name="_GoBack"/>
      <w:bookmarkEnd w:id="0"/>
      <w:r w:rsidRPr="00B0704C">
        <w:rPr>
          <w:rFonts w:ascii="Times New Roman" w:eastAsia="Calibri" w:hAnsi="Times New Roman" w:cs="Times New Roman"/>
          <w:noProof/>
          <w:sz w:val="24"/>
          <w:szCs w:val="24"/>
        </w:rPr>
        <w:t xml:space="preserve">y tract calculi and thresholds in carcinogenesis. </w:t>
      </w:r>
      <w:r w:rsidRPr="00B0704C">
        <w:rPr>
          <w:rFonts w:ascii="Times New Roman" w:eastAsia="Calibri" w:hAnsi="Times New Roman" w:cs="Times New Roman"/>
          <w:noProof/>
          <w:sz w:val="24"/>
          <w:szCs w:val="24"/>
          <w:lang w:val="fr-FR"/>
        </w:rPr>
        <w:t>Food Chem Toxicol. 2002;40:793-9.</w:t>
      </w:r>
    </w:p>
    <w:p w:rsidR="00D562D5" w:rsidRPr="00B0704C" w:rsidRDefault="00D562D5" w:rsidP="00D562D5">
      <w:pPr>
        <w:spacing w:after="0" w:line="360" w:lineRule="auto"/>
        <w:jc w:val="both"/>
        <w:rPr>
          <w:rFonts w:ascii="Times New Roman" w:eastAsia="Calibri" w:hAnsi="Times New Roman" w:cs="Times New Roman"/>
          <w:noProof/>
          <w:sz w:val="24"/>
          <w:szCs w:val="24"/>
          <w:lang w:val="fr-FR"/>
        </w:rPr>
      </w:pPr>
    </w:p>
    <w:p w:rsidR="00A537B8" w:rsidRPr="00D562D5" w:rsidRDefault="00D562D5" w:rsidP="00D562D5">
      <w:r w:rsidRPr="00B0704C">
        <w:rPr>
          <w:rFonts w:ascii="Times New Roman" w:eastAsia="Calibri" w:hAnsi="Times New Roman" w:cs="Times New Roman"/>
          <w:sz w:val="24"/>
          <w:szCs w:val="24"/>
          <w:lang w:val="fr-FR"/>
        </w:rPr>
        <w:fldChar w:fldCharType="end"/>
      </w:r>
    </w:p>
    <w:sectPr w:rsidR="00A537B8" w:rsidRPr="00D562D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23C" w:rsidRDefault="007C523C">
      <w:pPr>
        <w:spacing w:after="0" w:line="240" w:lineRule="auto"/>
      </w:pPr>
      <w:r>
        <w:separator/>
      </w:r>
    </w:p>
  </w:endnote>
  <w:endnote w:type="continuationSeparator" w:id="0">
    <w:p w:rsidR="007C523C" w:rsidRDefault="007C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874130"/>
      <w:docPartObj>
        <w:docPartGallery w:val="Page Numbers (Bottom of Page)"/>
        <w:docPartUnique/>
      </w:docPartObj>
    </w:sdtPr>
    <w:sdtEndPr/>
    <w:sdtContent>
      <w:p w:rsidR="00907E11" w:rsidRDefault="00A127BE">
        <w:pPr>
          <w:pStyle w:val="Footer"/>
          <w:jc w:val="right"/>
        </w:pPr>
        <w:r>
          <w:fldChar w:fldCharType="begin"/>
        </w:r>
        <w:r>
          <w:instrText>PAGE   \* MERGEFORMAT</w:instrText>
        </w:r>
        <w:r>
          <w:fldChar w:fldCharType="separate"/>
        </w:r>
        <w:r w:rsidR="00D562D5">
          <w:rPr>
            <w:noProof/>
          </w:rPr>
          <w:t>11</w:t>
        </w:r>
        <w:r>
          <w:fldChar w:fldCharType="end"/>
        </w:r>
      </w:p>
    </w:sdtContent>
  </w:sdt>
  <w:p w:rsidR="00907E11" w:rsidRDefault="007C52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23C" w:rsidRDefault="007C523C">
      <w:pPr>
        <w:spacing w:after="0" w:line="240" w:lineRule="auto"/>
      </w:pPr>
      <w:r>
        <w:separator/>
      </w:r>
    </w:p>
  </w:footnote>
  <w:footnote w:type="continuationSeparator" w:id="0">
    <w:p w:rsidR="007C523C" w:rsidRDefault="007C52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5A3EDD"/>
    <w:multiLevelType w:val="multilevel"/>
    <w:tmpl w:val="D7D805F8"/>
    <w:lvl w:ilvl="0">
      <w:start w:val="1"/>
      <w:numFmt w:val="decimal"/>
      <w:lvlText w:val="%1."/>
      <w:lvlJc w:val="left"/>
      <w:pPr>
        <w:ind w:left="810" w:hanging="360"/>
      </w:pPr>
      <w:rPr>
        <w:rFonts w:ascii="Times New Roman" w:eastAsia="Times New Roman" w:hAnsi="Times New Roman" w:cs="Times New Roman"/>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9A62991"/>
    <w:multiLevelType w:val="hybridMultilevel"/>
    <w:tmpl w:val="809447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1F034FB"/>
    <w:multiLevelType w:val="hybridMultilevel"/>
    <w:tmpl w:val="63FC1C22"/>
    <w:lvl w:ilvl="0" w:tplc="C882AD18">
      <w:start w:val="1"/>
      <w:numFmt w:val="decimal"/>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62692A41"/>
    <w:multiLevelType w:val="hybridMultilevel"/>
    <w:tmpl w:val="F3F00952"/>
    <w:lvl w:ilvl="0" w:tplc="3B8E1FBC">
      <w:start w:val="10"/>
      <w:numFmt w:val="bullet"/>
      <w:lvlText w:val="-"/>
      <w:lvlJc w:val="left"/>
      <w:pPr>
        <w:ind w:left="814" w:hanging="360"/>
      </w:pPr>
      <w:rPr>
        <w:rFonts w:ascii="Times New Roman" w:eastAsia="Calibri" w:hAnsi="Times New Roman" w:cs="Times New Roman" w:hint="default"/>
      </w:rPr>
    </w:lvl>
    <w:lvl w:ilvl="1" w:tplc="080C0003" w:tentative="1">
      <w:start w:val="1"/>
      <w:numFmt w:val="bullet"/>
      <w:lvlText w:val="o"/>
      <w:lvlJc w:val="left"/>
      <w:pPr>
        <w:ind w:left="1534" w:hanging="360"/>
      </w:pPr>
      <w:rPr>
        <w:rFonts w:ascii="Courier New" w:hAnsi="Courier New" w:cs="Courier New" w:hint="default"/>
      </w:rPr>
    </w:lvl>
    <w:lvl w:ilvl="2" w:tplc="080C0005" w:tentative="1">
      <w:start w:val="1"/>
      <w:numFmt w:val="bullet"/>
      <w:lvlText w:val=""/>
      <w:lvlJc w:val="left"/>
      <w:pPr>
        <w:ind w:left="2254" w:hanging="360"/>
      </w:pPr>
      <w:rPr>
        <w:rFonts w:ascii="Wingdings" w:hAnsi="Wingdings" w:hint="default"/>
      </w:rPr>
    </w:lvl>
    <w:lvl w:ilvl="3" w:tplc="080C0001" w:tentative="1">
      <w:start w:val="1"/>
      <w:numFmt w:val="bullet"/>
      <w:lvlText w:val=""/>
      <w:lvlJc w:val="left"/>
      <w:pPr>
        <w:ind w:left="2974" w:hanging="360"/>
      </w:pPr>
      <w:rPr>
        <w:rFonts w:ascii="Symbol" w:hAnsi="Symbol" w:hint="default"/>
      </w:rPr>
    </w:lvl>
    <w:lvl w:ilvl="4" w:tplc="080C0003" w:tentative="1">
      <w:start w:val="1"/>
      <w:numFmt w:val="bullet"/>
      <w:lvlText w:val="o"/>
      <w:lvlJc w:val="left"/>
      <w:pPr>
        <w:ind w:left="3694" w:hanging="360"/>
      </w:pPr>
      <w:rPr>
        <w:rFonts w:ascii="Courier New" w:hAnsi="Courier New" w:cs="Courier New" w:hint="default"/>
      </w:rPr>
    </w:lvl>
    <w:lvl w:ilvl="5" w:tplc="080C0005" w:tentative="1">
      <w:start w:val="1"/>
      <w:numFmt w:val="bullet"/>
      <w:lvlText w:val=""/>
      <w:lvlJc w:val="left"/>
      <w:pPr>
        <w:ind w:left="4414" w:hanging="360"/>
      </w:pPr>
      <w:rPr>
        <w:rFonts w:ascii="Wingdings" w:hAnsi="Wingdings" w:hint="default"/>
      </w:rPr>
    </w:lvl>
    <w:lvl w:ilvl="6" w:tplc="080C0001" w:tentative="1">
      <w:start w:val="1"/>
      <w:numFmt w:val="bullet"/>
      <w:lvlText w:val=""/>
      <w:lvlJc w:val="left"/>
      <w:pPr>
        <w:ind w:left="5134" w:hanging="360"/>
      </w:pPr>
      <w:rPr>
        <w:rFonts w:ascii="Symbol" w:hAnsi="Symbol" w:hint="default"/>
      </w:rPr>
    </w:lvl>
    <w:lvl w:ilvl="7" w:tplc="080C0003" w:tentative="1">
      <w:start w:val="1"/>
      <w:numFmt w:val="bullet"/>
      <w:lvlText w:val="o"/>
      <w:lvlJc w:val="left"/>
      <w:pPr>
        <w:ind w:left="5854" w:hanging="360"/>
      </w:pPr>
      <w:rPr>
        <w:rFonts w:ascii="Courier New" w:hAnsi="Courier New" w:cs="Courier New" w:hint="default"/>
      </w:rPr>
    </w:lvl>
    <w:lvl w:ilvl="8" w:tplc="080C0005" w:tentative="1">
      <w:start w:val="1"/>
      <w:numFmt w:val="bullet"/>
      <w:lvlText w:val=""/>
      <w:lvlJc w:val="left"/>
      <w:pPr>
        <w:ind w:left="6574" w:hanging="360"/>
      </w:pPr>
      <w:rPr>
        <w:rFonts w:ascii="Wingdings" w:hAnsi="Wingdings" w:hint="default"/>
      </w:rPr>
    </w:lvl>
  </w:abstractNum>
  <w:abstractNum w:abstractNumId="4">
    <w:nsid w:val="67EB7C62"/>
    <w:multiLevelType w:val="hybridMultilevel"/>
    <w:tmpl w:val="515CBE08"/>
    <w:lvl w:ilvl="0" w:tplc="2C18EECE">
      <w:start w:val="1"/>
      <w:numFmt w:val="decimal"/>
      <w:lvlText w:val="%1."/>
      <w:lvlJc w:val="left"/>
      <w:pPr>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777068AB"/>
    <w:multiLevelType w:val="hybridMultilevel"/>
    <w:tmpl w:val="809447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EFE272B"/>
    <w:multiLevelType w:val="hybridMultilevel"/>
    <w:tmpl w:val="84901F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0"/>
  </w:num>
  <w:num w:numId="6">
    <w:abstractNumId w:val="4"/>
  </w:num>
  <w:num w:numId="7">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21D"/>
    <w:rsid w:val="001E3028"/>
    <w:rsid w:val="0023112B"/>
    <w:rsid w:val="004D25B9"/>
    <w:rsid w:val="00703D37"/>
    <w:rsid w:val="0076171D"/>
    <w:rsid w:val="007C523C"/>
    <w:rsid w:val="007E1EE6"/>
    <w:rsid w:val="00826062"/>
    <w:rsid w:val="00A127BE"/>
    <w:rsid w:val="00A537B8"/>
    <w:rsid w:val="00C93326"/>
    <w:rsid w:val="00CF721D"/>
    <w:rsid w:val="00D16393"/>
    <w:rsid w:val="00D52040"/>
    <w:rsid w:val="00D562D5"/>
    <w:rsid w:val="00DE5F2A"/>
    <w:rsid w:val="00E70131"/>
    <w:rsid w:val="00EE5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57376-6316-41FB-A8A4-4CCBA72B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2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qFormat/>
    <w:rsid w:val="00A127BE"/>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qFormat/>
    <w:rsid w:val="00A127BE"/>
    <w:rPr>
      <w:rFonts w:ascii="Calibri" w:eastAsia="Calibri" w:hAnsi="Calibri" w:cs="Times New Roman"/>
      <w:lang w:val="en-US"/>
    </w:rPr>
  </w:style>
  <w:style w:type="table" w:styleId="TableGrid">
    <w:name w:val="Table Grid"/>
    <w:basedOn w:val="TableNormal"/>
    <w:uiPriority w:val="39"/>
    <w:rsid w:val="00A127B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3112B"/>
    <w:pPr>
      <w:spacing w:after="0" w:line="240" w:lineRule="auto"/>
    </w:pPr>
  </w:style>
  <w:style w:type="paragraph" w:styleId="FootnoteText">
    <w:name w:val="footnote text"/>
    <w:basedOn w:val="Normal"/>
    <w:link w:val="FootnoteTextChar"/>
    <w:uiPriority w:val="99"/>
    <w:semiHidden/>
    <w:unhideWhenUsed/>
    <w:rsid w:val="0023112B"/>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23112B"/>
    <w:rPr>
      <w:rFonts w:eastAsiaTheme="minorEastAsia"/>
      <w:sz w:val="20"/>
      <w:szCs w:val="20"/>
      <w:lang w:eastAsia="en-GB"/>
    </w:rPr>
  </w:style>
  <w:style w:type="character" w:styleId="FootnoteReference">
    <w:name w:val="footnote reference"/>
    <w:basedOn w:val="DefaultParagraphFont"/>
    <w:uiPriority w:val="99"/>
    <w:semiHidden/>
    <w:unhideWhenUsed/>
    <w:rsid w:val="002311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obrahi@yahoo.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5018</Words>
  <Characters>28609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2</cp:revision>
  <dcterms:created xsi:type="dcterms:W3CDTF">2020-07-09T07:01:00Z</dcterms:created>
  <dcterms:modified xsi:type="dcterms:W3CDTF">2020-07-09T07:01:00Z</dcterms:modified>
</cp:coreProperties>
</file>