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85" w:rsidRPr="006215A1" w:rsidRDefault="00616A85" w:rsidP="00616A85">
      <w:pPr>
        <w:spacing w:after="0" w:line="360" w:lineRule="auto"/>
        <w:ind w:right="-194"/>
        <w:jc w:val="center"/>
        <w:rPr>
          <w:rFonts w:ascii="Times New Roman" w:eastAsia="Calibri" w:hAnsi="Times New Roman" w:cs="Times New Roman"/>
          <w:b/>
          <w:color w:val="000000"/>
          <w:sz w:val="28"/>
          <w:szCs w:val="28"/>
        </w:rPr>
      </w:pPr>
      <w:r w:rsidRPr="006215A1">
        <w:rPr>
          <w:rFonts w:ascii="Times New Roman" w:eastAsia="Calibri" w:hAnsi="Times New Roman" w:cs="Times New Roman"/>
          <w:b/>
          <w:color w:val="000000"/>
          <w:sz w:val="28"/>
          <w:szCs w:val="28"/>
        </w:rPr>
        <w:t>ORO-FACIAL FASCIAL SPACE INFECTION IN A PAEDIATRIC GAMBIAN POPULATION: A REVIEW OF 93 CASES</w:t>
      </w:r>
    </w:p>
    <w:p w:rsidR="00616A85" w:rsidRDefault="00616A85" w:rsidP="00616A85">
      <w:pPr>
        <w:spacing w:after="0" w:line="360" w:lineRule="auto"/>
        <w:jc w:val="both"/>
        <w:rPr>
          <w:rFonts w:ascii="Times New Roman" w:eastAsia="Calibri" w:hAnsi="Times New Roman" w:cs="Times New Roman"/>
          <w:b/>
          <w:sz w:val="24"/>
          <w:szCs w:val="24"/>
        </w:rPr>
      </w:pPr>
    </w:p>
    <w:p w:rsidR="00616A85" w:rsidRDefault="00616A85" w:rsidP="00616A85">
      <w:pPr>
        <w:spacing w:after="0" w:line="360" w:lineRule="auto"/>
        <w:rPr>
          <w:rFonts w:ascii="Times New Roman" w:eastAsia="Calibri" w:hAnsi="Times New Roman" w:cs="Times New Roman"/>
          <w:b/>
          <w:sz w:val="24"/>
          <w:szCs w:val="24"/>
          <w:vertAlign w:val="superscript"/>
        </w:rPr>
      </w:pPr>
      <w:proofErr w:type="spellStart"/>
      <w:r w:rsidRPr="006215A1">
        <w:rPr>
          <w:rFonts w:ascii="Times New Roman" w:eastAsia="Calibri" w:hAnsi="Times New Roman" w:cs="Times New Roman"/>
          <w:b/>
          <w:sz w:val="24"/>
          <w:szCs w:val="24"/>
        </w:rPr>
        <w:t>Okoje</w:t>
      </w:r>
      <w:proofErr w:type="spellEnd"/>
      <w:r w:rsidRPr="006215A1">
        <w:rPr>
          <w:rFonts w:ascii="Times New Roman" w:eastAsia="Calibri" w:hAnsi="Times New Roman" w:cs="Times New Roman"/>
          <w:b/>
          <w:sz w:val="24"/>
          <w:szCs w:val="24"/>
        </w:rPr>
        <w:t xml:space="preserve"> VN</w:t>
      </w:r>
      <w:r w:rsidRPr="006215A1">
        <w:rPr>
          <w:rFonts w:ascii="Times New Roman" w:eastAsia="Calibri" w:hAnsi="Times New Roman" w:cs="Times New Roman"/>
          <w:b/>
          <w:sz w:val="24"/>
          <w:szCs w:val="24"/>
          <w:vertAlign w:val="superscript"/>
        </w:rPr>
        <w:t>1</w:t>
      </w:r>
      <w:r w:rsidRPr="006215A1">
        <w:rPr>
          <w:rFonts w:ascii="Times New Roman" w:eastAsia="Calibri" w:hAnsi="Times New Roman" w:cs="Times New Roman"/>
          <w:b/>
          <w:sz w:val="24"/>
          <w:szCs w:val="24"/>
        </w:rPr>
        <w:t xml:space="preserve">, </w:t>
      </w:r>
      <w:proofErr w:type="spellStart"/>
      <w:r w:rsidRPr="006215A1">
        <w:rPr>
          <w:rFonts w:ascii="Times New Roman" w:eastAsia="Calibri" w:hAnsi="Times New Roman" w:cs="Times New Roman"/>
          <w:b/>
          <w:sz w:val="24"/>
          <w:szCs w:val="24"/>
        </w:rPr>
        <w:t>Omeje</w:t>
      </w:r>
      <w:proofErr w:type="spellEnd"/>
      <w:r w:rsidRPr="006215A1">
        <w:rPr>
          <w:rFonts w:ascii="Times New Roman" w:eastAsia="Calibri" w:hAnsi="Times New Roman" w:cs="Times New Roman"/>
          <w:b/>
          <w:sz w:val="24"/>
          <w:szCs w:val="24"/>
        </w:rPr>
        <w:t xml:space="preserve"> KU</w:t>
      </w:r>
      <w:r w:rsidRPr="006215A1">
        <w:rPr>
          <w:rFonts w:ascii="Times New Roman" w:eastAsia="Calibri" w:hAnsi="Times New Roman" w:cs="Times New Roman"/>
          <w:b/>
          <w:sz w:val="24"/>
          <w:szCs w:val="24"/>
          <w:vertAlign w:val="superscript"/>
        </w:rPr>
        <w:t>2</w:t>
      </w:r>
      <w:r w:rsidRPr="006215A1">
        <w:rPr>
          <w:rFonts w:ascii="Times New Roman" w:eastAsia="Calibri" w:hAnsi="Times New Roman" w:cs="Times New Roman"/>
          <w:b/>
          <w:sz w:val="24"/>
          <w:szCs w:val="24"/>
        </w:rPr>
        <w:t xml:space="preserve">*, </w:t>
      </w:r>
      <w:proofErr w:type="spellStart"/>
      <w:r w:rsidRPr="006215A1">
        <w:rPr>
          <w:rFonts w:ascii="Times New Roman" w:eastAsia="Calibri" w:hAnsi="Times New Roman" w:cs="Times New Roman"/>
          <w:b/>
          <w:sz w:val="24"/>
          <w:szCs w:val="24"/>
        </w:rPr>
        <w:t>Okafor</w:t>
      </w:r>
      <w:proofErr w:type="spellEnd"/>
      <w:r w:rsidRPr="006215A1">
        <w:rPr>
          <w:rFonts w:ascii="Times New Roman" w:eastAsia="Calibri" w:hAnsi="Times New Roman" w:cs="Times New Roman"/>
          <w:b/>
          <w:sz w:val="24"/>
          <w:szCs w:val="24"/>
        </w:rPr>
        <w:t xml:space="preserve"> E</w:t>
      </w:r>
      <w:r w:rsidRPr="006215A1">
        <w:rPr>
          <w:rFonts w:ascii="Times New Roman" w:eastAsia="Calibri" w:hAnsi="Times New Roman" w:cs="Times New Roman"/>
          <w:b/>
          <w:sz w:val="24"/>
          <w:szCs w:val="24"/>
          <w:vertAlign w:val="superscript"/>
        </w:rPr>
        <w:t>3</w:t>
      </w:r>
      <w:r w:rsidRPr="006215A1">
        <w:rPr>
          <w:rFonts w:ascii="Times New Roman" w:eastAsia="Calibri" w:hAnsi="Times New Roman" w:cs="Times New Roman"/>
          <w:b/>
          <w:sz w:val="24"/>
          <w:szCs w:val="24"/>
        </w:rPr>
        <w:t xml:space="preserve">, </w:t>
      </w:r>
      <w:proofErr w:type="spellStart"/>
      <w:r w:rsidRPr="006215A1">
        <w:rPr>
          <w:rFonts w:ascii="Times New Roman" w:eastAsia="Calibri" w:hAnsi="Times New Roman" w:cs="Times New Roman"/>
          <w:b/>
          <w:sz w:val="24"/>
          <w:szCs w:val="24"/>
        </w:rPr>
        <w:t>Adeyemo</w:t>
      </w:r>
      <w:proofErr w:type="spellEnd"/>
      <w:r w:rsidRPr="006215A1">
        <w:rPr>
          <w:rFonts w:ascii="Times New Roman" w:eastAsia="Calibri" w:hAnsi="Times New Roman" w:cs="Times New Roman"/>
          <w:b/>
          <w:sz w:val="24"/>
          <w:szCs w:val="24"/>
        </w:rPr>
        <w:t xml:space="preserve"> YI</w:t>
      </w:r>
      <w:r w:rsidRPr="006215A1">
        <w:rPr>
          <w:rFonts w:ascii="Times New Roman" w:eastAsia="Calibri" w:hAnsi="Times New Roman" w:cs="Times New Roman"/>
          <w:b/>
          <w:sz w:val="24"/>
          <w:szCs w:val="24"/>
          <w:vertAlign w:val="superscript"/>
        </w:rPr>
        <w:t>4</w:t>
      </w:r>
      <w:r w:rsidRPr="006215A1">
        <w:rPr>
          <w:rFonts w:ascii="Times New Roman" w:eastAsia="Calibri" w:hAnsi="Times New Roman" w:cs="Times New Roman"/>
          <w:b/>
          <w:sz w:val="24"/>
          <w:szCs w:val="24"/>
        </w:rPr>
        <w:t xml:space="preserve">, </w:t>
      </w:r>
      <w:proofErr w:type="spellStart"/>
      <w:r w:rsidRPr="006215A1">
        <w:rPr>
          <w:rFonts w:ascii="Times New Roman" w:eastAsia="Calibri" w:hAnsi="Times New Roman" w:cs="Times New Roman"/>
          <w:b/>
          <w:sz w:val="24"/>
          <w:szCs w:val="24"/>
        </w:rPr>
        <w:t>Abubaccar</w:t>
      </w:r>
      <w:proofErr w:type="spellEnd"/>
      <w:r w:rsidRPr="006215A1">
        <w:rPr>
          <w:rFonts w:ascii="Times New Roman" w:eastAsia="Calibri" w:hAnsi="Times New Roman" w:cs="Times New Roman"/>
          <w:b/>
          <w:sz w:val="24"/>
          <w:szCs w:val="24"/>
        </w:rPr>
        <w:t xml:space="preserve"> J</w:t>
      </w:r>
      <w:r w:rsidRPr="006215A1">
        <w:rPr>
          <w:rFonts w:ascii="Times New Roman" w:eastAsia="Calibri" w:hAnsi="Times New Roman" w:cs="Times New Roman"/>
          <w:b/>
          <w:sz w:val="24"/>
          <w:szCs w:val="24"/>
          <w:vertAlign w:val="superscript"/>
        </w:rPr>
        <w:t>5</w:t>
      </w:r>
      <w:r w:rsidRPr="006215A1">
        <w:rPr>
          <w:rFonts w:ascii="Times New Roman" w:eastAsia="Calibri" w:hAnsi="Times New Roman" w:cs="Times New Roman"/>
          <w:b/>
          <w:sz w:val="24"/>
          <w:szCs w:val="24"/>
        </w:rPr>
        <w:t>, Roberts CAP</w:t>
      </w:r>
      <w:r w:rsidRPr="006215A1">
        <w:rPr>
          <w:rFonts w:ascii="Times New Roman" w:eastAsia="Calibri" w:hAnsi="Times New Roman" w:cs="Times New Roman"/>
          <w:b/>
          <w:sz w:val="24"/>
          <w:szCs w:val="24"/>
          <w:vertAlign w:val="superscript"/>
        </w:rPr>
        <w:t>5</w:t>
      </w:r>
      <w:r w:rsidRPr="006215A1">
        <w:rPr>
          <w:rFonts w:ascii="Times New Roman" w:eastAsia="Calibri" w:hAnsi="Times New Roman" w:cs="Times New Roman"/>
          <w:b/>
          <w:sz w:val="24"/>
          <w:szCs w:val="24"/>
        </w:rPr>
        <w:t xml:space="preserve">, </w:t>
      </w:r>
      <w:proofErr w:type="spellStart"/>
      <w:r w:rsidRPr="006215A1">
        <w:rPr>
          <w:rFonts w:ascii="Times New Roman" w:eastAsia="Calibri" w:hAnsi="Times New Roman" w:cs="Times New Roman"/>
          <w:b/>
          <w:sz w:val="24"/>
          <w:szCs w:val="24"/>
        </w:rPr>
        <w:t>Samateh</w:t>
      </w:r>
      <w:proofErr w:type="spellEnd"/>
      <w:r w:rsidRPr="006215A1">
        <w:rPr>
          <w:rFonts w:ascii="Times New Roman" w:eastAsia="Calibri" w:hAnsi="Times New Roman" w:cs="Times New Roman"/>
          <w:b/>
          <w:sz w:val="24"/>
          <w:szCs w:val="24"/>
        </w:rPr>
        <w:t xml:space="preserve"> AL</w:t>
      </w:r>
      <w:r w:rsidRPr="006215A1">
        <w:rPr>
          <w:rFonts w:ascii="Times New Roman" w:eastAsia="Calibri" w:hAnsi="Times New Roman" w:cs="Times New Roman"/>
          <w:b/>
          <w:sz w:val="24"/>
          <w:szCs w:val="24"/>
          <w:vertAlign w:val="superscript"/>
        </w:rPr>
        <w:t>5</w:t>
      </w:r>
    </w:p>
    <w:p w:rsidR="00616A85" w:rsidRPr="006215A1" w:rsidRDefault="00616A85" w:rsidP="00616A85">
      <w:pPr>
        <w:spacing w:after="0" w:line="360" w:lineRule="auto"/>
        <w:jc w:val="both"/>
        <w:rPr>
          <w:rFonts w:ascii="Times New Roman" w:eastAsia="Calibri" w:hAnsi="Times New Roman" w:cs="Times New Roman"/>
          <w:b/>
          <w:sz w:val="24"/>
          <w:szCs w:val="24"/>
          <w:vertAlign w:val="superscript"/>
        </w:rPr>
      </w:pPr>
    </w:p>
    <w:p w:rsidR="00616A85" w:rsidRPr="006215A1"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vertAlign w:val="superscript"/>
          <w:lang w:val="en-GB"/>
        </w:rPr>
        <w:t>1</w:t>
      </w:r>
      <w:r w:rsidRPr="006215A1">
        <w:rPr>
          <w:rFonts w:ascii="Times New Roman" w:eastAsia="Calibri" w:hAnsi="Times New Roman" w:cs="Times New Roman"/>
          <w:color w:val="000000"/>
          <w:sz w:val="24"/>
          <w:szCs w:val="24"/>
          <w:lang w:val="en-GB"/>
        </w:rPr>
        <w:t xml:space="preserve">Department of Oral and Maxillofacial Surgery, </w:t>
      </w:r>
      <w:r w:rsidRPr="006215A1">
        <w:rPr>
          <w:rFonts w:ascii="Times New Roman" w:eastAsia="Times New Roman" w:hAnsi="Times New Roman" w:cs="Times New Roman"/>
          <w:color w:val="000000"/>
          <w:sz w:val="24"/>
          <w:szCs w:val="24"/>
          <w:lang w:val="en-GB"/>
        </w:rPr>
        <w:t xml:space="preserve">University College Hospital, Ibadan, Oyo State, Nigeria and </w:t>
      </w:r>
      <w:r w:rsidRPr="006215A1">
        <w:rPr>
          <w:rFonts w:ascii="Times New Roman" w:eastAsia="Calibri" w:hAnsi="Times New Roman" w:cs="Times New Roman"/>
          <w:color w:val="000000"/>
          <w:sz w:val="24"/>
          <w:szCs w:val="24"/>
          <w:lang w:val="en-GB"/>
        </w:rPr>
        <w:t xml:space="preserve">Sabbatical consultant to </w:t>
      </w:r>
      <w:r w:rsidRPr="006215A1">
        <w:rPr>
          <w:rFonts w:ascii="Times New Roman" w:eastAsia="Calibri" w:hAnsi="Times New Roman" w:cs="Times New Roman"/>
          <w:sz w:val="24"/>
          <w:szCs w:val="24"/>
        </w:rPr>
        <w:t>Edward Francis Small Teaching Hospital Banjul</w:t>
      </w:r>
      <w:r w:rsidRPr="006215A1">
        <w:rPr>
          <w:rFonts w:ascii="Times New Roman" w:eastAsia="Calibri" w:hAnsi="Times New Roman" w:cs="Times New Roman"/>
          <w:color w:val="000000"/>
          <w:sz w:val="24"/>
          <w:szCs w:val="24"/>
          <w:lang w:val="en-GB"/>
        </w:rPr>
        <w:t>, Gambia</w:t>
      </w:r>
    </w:p>
    <w:p w:rsidR="00616A85" w:rsidRPr="006215A1"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vertAlign w:val="superscript"/>
          <w:lang w:val="en-GB"/>
        </w:rPr>
        <w:t>2</w:t>
      </w:r>
      <w:r w:rsidRPr="006215A1">
        <w:rPr>
          <w:rFonts w:ascii="Times New Roman" w:eastAsia="Calibri" w:hAnsi="Times New Roman" w:cs="Times New Roman"/>
          <w:color w:val="000000"/>
          <w:sz w:val="24"/>
          <w:szCs w:val="24"/>
          <w:lang w:val="en-GB"/>
        </w:rPr>
        <w:t xml:space="preserve">Department of Oral and Maxillofacial Surgery, </w:t>
      </w:r>
      <w:proofErr w:type="spellStart"/>
      <w:r w:rsidRPr="006215A1">
        <w:rPr>
          <w:rFonts w:ascii="Times New Roman" w:eastAsia="Calibri" w:hAnsi="Times New Roman" w:cs="Times New Roman"/>
          <w:color w:val="000000"/>
          <w:sz w:val="24"/>
          <w:szCs w:val="24"/>
          <w:lang w:val="en-GB"/>
        </w:rPr>
        <w:t>Aminu</w:t>
      </w:r>
      <w:proofErr w:type="spellEnd"/>
      <w:r w:rsidRPr="006215A1">
        <w:rPr>
          <w:rFonts w:ascii="Times New Roman" w:eastAsia="Calibri" w:hAnsi="Times New Roman" w:cs="Times New Roman"/>
          <w:color w:val="000000"/>
          <w:sz w:val="24"/>
          <w:szCs w:val="24"/>
          <w:lang w:val="en-GB"/>
        </w:rPr>
        <w:t xml:space="preserve"> Kano Teaching Hospital, Kano, Nigeria and </w:t>
      </w:r>
      <w:proofErr w:type="spellStart"/>
      <w:r w:rsidRPr="006215A1">
        <w:rPr>
          <w:rFonts w:ascii="Times New Roman" w:eastAsia="Calibri" w:hAnsi="Times New Roman" w:cs="Times New Roman"/>
          <w:color w:val="000000"/>
          <w:sz w:val="24"/>
          <w:szCs w:val="24"/>
          <w:lang w:val="en-GB"/>
        </w:rPr>
        <w:t>Bayero</w:t>
      </w:r>
      <w:proofErr w:type="spellEnd"/>
      <w:r w:rsidRPr="006215A1">
        <w:rPr>
          <w:rFonts w:ascii="Times New Roman" w:eastAsia="Calibri" w:hAnsi="Times New Roman" w:cs="Times New Roman"/>
          <w:color w:val="000000"/>
          <w:sz w:val="24"/>
          <w:szCs w:val="24"/>
          <w:lang w:val="en-GB"/>
        </w:rPr>
        <w:t xml:space="preserve"> University, Kano, Nigeria.</w:t>
      </w:r>
    </w:p>
    <w:p w:rsidR="00616A85" w:rsidRPr="006215A1"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vertAlign w:val="superscript"/>
          <w:lang w:val="en-GB"/>
        </w:rPr>
        <w:t>3</w:t>
      </w:r>
      <w:r w:rsidRPr="006215A1">
        <w:rPr>
          <w:rFonts w:ascii="Times New Roman" w:eastAsia="Calibri" w:hAnsi="Times New Roman" w:cs="Times New Roman"/>
          <w:color w:val="000000"/>
          <w:sz w:val="24"/>
          <w:szCs w:val="24"/>
          <w:lang w:val="en-GB"/>
        </w:rPr>
        <w:t xml:space="preserve">Dental Clinic, </w:t>
      </w:r>
      <w:r w:rsidRPr="006215A1">
        <w:rPr>
          <w:rFonts w:ascii="Times New Roman" w:eastAsia="Calibri" w:hAnsi="Times New Roman" w:cs="Times New Roman"/>
          <w:sz w:val="24"/>
          <w:szCs w:val="24"/>
        </w:rPr>
        <w:t xml:space="preserve">Edward Francis Small Teaching Hospital </w:t>
      </w:r>
      <w:r w:rsidRPr="006215A1">
        <w:rPr>
          <w:rFonts w:ascii="Times New Roman" w:eastAsia="Calibri" w:hAnsi="Times New Roman" w:cs="Times New Roman"/>
          <w:color w:val="000000"/>
          <w:sz w:val="24"/>
          <w:szCs w:val="24"/>
          <w:lang w:val="en-GB"/>
        </w:rPr>
        <w:t>Banjul, Gambia</w:t>
      </w:r>
    </w:p>
    <w:p w:rsidR="00616A85" w:rsidRPr="006215A1"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vertAlign w:val="superscript"/>
          <w:lang w:val="en-GB"/>
        </w:rPr>
        <w:t>4</w:t>
      </w:r>
      <w:r w:rsidRPr="006215A1">
        <w:rPr>
          <w:rFonts w:ascii="Times New Roman" w:eastAsia="Calibri" w:hAnsi="Times New Roman" w:cs="Times New Roman"/>
          <w:color w:val="000000"/>
          <w:sz w:val="24"/>
          <w:szCs w:val="24"/>
          <w:lang w:val="en-GB"/>
        </w:rPr>
        <w:t xml:space="preserve">Department of Child Dental Health, </w:t>
      </w:r>
      <w:proofErr w:type="spellStart"/>
      <w:r w:rsidRPr="006215A1">
        <w:rPr>
          <w:rFonts w:ascii="Times New Roman" w:eastAsia="Calibri" w:hAnsi="Times New Roman" w:cs="Times New Roman"/>
          <w:color w:val="000000"/>
          <w:sz w:val="24"/>
          <w:szCs w:val="24"/>
          <w:lang w:val="en-GB"/>
        </w:rPr>
        <w:t>Aminu</w:t>
      </w:r>
      <w:proofErr w:type="spellEnd"/>
      <w:r w:rsidRPr="006215A1">
        <w:rPr>
          <w:rFonts w:ascii="Times New Roman" w:eastAsia="Calibri" w:hAnsi="Times New Roman" w:cs="Times New Roman"/>
          <w:color w:val="000000"/>
          <w:sz w:val="24"/>
          <w:szCs w:val="24"/>
          <w:lang w:val="en-GB"/>
        </w:rPr>
        <w:t xml:space="preserve"> Kano Teaching Hospital, Kano, Nigeria</w:t>
      </w:r>
    </w:p>
    <w:p w:rsidR="00616A85" w:rsidRPr="006215A1"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vertAlign w:val="superscript"/>
          <w:lang w:val="en-GB"/>
        </w:rPr>
        <w:t>5</w:t>
      </w:r>
      <w:r w:rsidRPr="006215A1">
        <w:rPr>
          <w:rFonts w:ascii="Times New Roman" w:eastAsia="Times New Roman" w:hAnsi="Times New Roman" w:cs="Times New Roman"/>
          <w:color w:val="000000"/>
          <w:sz w:val="24"/>
          <w:szCs w:val="24"/>
          <w:lang w:val="en-GB"/>
        </w:rPr>
        <w:t xml:space="preserve">Department of Surgery, University of </w:t>
      </w:r>
      <w:proofErr w:type="gramStart"/>
      <w:r w:rsidRPr="006215A1">
        <w:rPr>
          <w:rFonts w:ascii="Times New Roman" w:eastAsia="Times New Roman" w:hAnsi="Times New Roman" w:cs="Times New Roman"/>
          <w:color w:val="000000"/>
          <w:sz w:val="24"/>
          <w:szCs w:val="24"/>
          <w:lang w:val="en-GB"/>
        </w:rPr>
        <w:t>The</w:t>
      </w:r>
      <w:proofErr w:type="gramEnd"/>
      <w:r w:rsidRPr="006215A1">
        <w:rPr>
          <w:rFonts w:ascii="Times New Roman" w:eastAsia="Times New Roman" w:hAnsi="Times New Roman" w:cs="Times New Roman"/>
          <w:color w:val="000000"/>
          <w:sz w:val="24"/>
          <w:szCs w:val="24"/>
          <w:lang w:val="en-GB"/>
        </w:rPr>
        <w:t xml:space="preserve"> Gambia, </w:t>
      </w:r>
      <w:r w:rsidRPr="006215A1">
        <w:rPr>
          <w:rFonts w:ascii="Times New Roman" w:eastAsia="Calibri" w:hAnsi="Times New Roman" w:cs="Times New Roman"/>
          <w:sz w:val="24"/>
          <w:szCs w:val="24"/>
        </w:rPr>
        <w:t xml:space="preserve">Edward Francis Small Teaching Hospital </w:t>
      </w:r>
      <w:r w:rsidRPr="006215A1">
        <w:rPr>
          <w:rFonts w:ascii="Times New Roman" w:eastAsia="Calibri" w:hAnsi="Times New Roman" w:cs="Times New Roman"/>
          <w:color w:val="000000"/>
          <w:sz w:val="24"/>
          <w:szCs w:val="24"/>
          <w:lang w:val="en-GB"/>
        </w:rPr>
        <w:t>Banjul, Gambia</w:t>
      </w:r>
    </w:p>
    <w:p w:rsidR="00616A85" w:rsidRPr="006215A1" w:rsidRDefault="00616A85" w:rsidP="00616A85">
      <w:pPr>
        <w:spacing w:after="0" w:line="360" w:lineRule="auto"/>
        <w:rPr>
          <w:rFonts w:ascii="Times New Roman" w:eastAsia="Calibri" w:hAnsi="Times New Roman" w:cs="Times New Roman"/>
          <w:b/>
          <w:color w:val="000000"/>
          <w:sz w:val="24"/>
          <w:szCs w:val="24"/>
          <w:lang w:val="en-GB"/>
        </w:rPr>
      </w:pPr>
    </w:p>
    <w:p w:rsidR="00616A85" w:rsidRPr="006215A1" w:rsidRDefault="00616A85" w:rsidP="00616A85">
      <w:pPr>
        <w:spacing w:after="0" w:line="360" w:lineRule="auto"/>
        <w:rPr>
          <w:rFonts w:ascii="Times New Roman" w:eastAsia="Calibri" w:hAnsi="Times New Roman" w:cs="Times New Roman"/>
          <w:b/>
          <w:color w:val="000000"/>
          <w:sz w:val="24"/>
          <w:szCs w:val="24"/>
          <w:lang w:val="en-GB"/>
        </w:rPr>
      </w:pPr>
      <w:r w:rsidRPr="006215A1">
        <w:rPr>
          <w:rFonts w:ascii="Times New Roman" w:eastAsia="Calibri" w:hAnsi="Times New Roman" w:cs="Times New Roman"/>
          <w:b/>
          <w:color w:val="000000"/>
          <w:sz w:val="24"/>
          <w:szCs w:val="24"/>
          <w:lang w:val="en-GB"/>
        </w:rPr>
        <w:t xml:space="preserve">*Corresponding author: </w:t>
      </w:r>
      <w:r w:rsidRPr="006215A1">
        <w:rPr>
          <w:rFonts w:ascii="Times New Roman" w:eastAsia="Calibri" w:hAnsi="Times New Roman" w:cs="Times New Roman"/>
          <w:color w:val="000000"/>
          <w:sz w:val="24"/>
          <w:szCs w:val="24"/>
          <w:lang w:val="en-GB"/>
        </w:rPr>
        <w:t xml:space="preserve">Dr Kelvin U. </w:t>
      </w:r>
      <w:proofErr w:type="spellStart"/>
      <w:r w:rsidRPr="006215A1">
        <w:rPr>
          <w:rFonts w:ascii="Times New Roman" w:eastAsia="Calibri" w:hAnsi="Times New Roman" w:cs="Times New Roman"/>
          <w:color w:val="000000"/>
          <w:sz w:val="24"/>
          <w:szCs w:val="24"/>
          <w:lang w:val="en-GB"/>
        </w:rPr>
        <w:t>Omeje</w:t>
      </w:r>
      <w:proofErr w:type="spellEnd"/>
      <w:r w:rsidRPr="006215A1">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     </w:t>
      </w:r>
      <w:r w:rsidRPr="006215A1">
        <w:rPr>
          <w:rFonts w:ascii="Times New Roman" w:eastAsia="Calibri" w:hAnsi="Times New Roman" w:cs="Times New Roman"/>
          <w:b/>
          <w:color w:val="000000"/>
          <w:sz w:val="24"/>
          <w:szCs w:val="24"/>
          <w:lang w:val="en-GB"/>
        </w:rPr>
        <w:t xml:space="preserve">Email: </w:t>
      </w:r>
      <w:hyperlink r:id="rId5" w:history="1">
        <w:r w:rsidRPr="006215A1">
          <w:rPr>
            <w:rFonts w:ascii="Times New Roman" w:eastAsia="Calibri" w:hAnsi="Times New Roman" w:cs="Times New Roman"/>
            <w:color w:val="0563C1"/>
            <w:sz w:val="24"/>
            <w:szCs w:val="24"/>
            <w:u w:val="single"/>
            <w:lang w:val="en-GB"/>
          </w:rPr>
          <w:t>uchennakelvinomeje@yahoo.com</w:t>
        </w:r>
      </w:hyperlink>
      <w:r w:rsidRPr="006215A1">
        <w:rPr>
          <w:rFonts w:ascii="Times New Roman" w:eastAsia="Calibri" w:hAnsi="Times New Roman" w:cs="Times New Roman"/>
          <w:color w:val="000000"/>
          <w:sz w:val="24"/>
          <w:szCs w:val="24"/>
          <w:lang w:val="en-GB"/>
        </w:rPr>
        <w:t xml:space="preserve">  </w:t>
      </w:r>
    </w:p>
    <w:p w:rsidR="00616A85" w:rsidRPr="006215A1" w:rsidRDefault="00616A85" w:rsidP="00616A85">
      <w:pPr>
        <w:spacing w:after="0" w:line="360" w:lineRule="auto"/>
        <w:jc w:val="both"/>
        <w:rPr>
          <w:rFonts w:ascii="Times New Roman" w:eastAsia="Calibri" w:hAnsi="Times New Roman" w:cs="Times New Roman"/>
          <w:b/>
          <w:color w:val="000000"/>
          <w:sz w:val="24"/>
          <w:szCs w:val="24"/>
          <w:lang w:val="en-GB"/>
        </w:rPr>
      </w:pPr>
    </w:p>
    <w:p w:rsidR="00616A85" w:rsidRPr="00D010DB" w:rsidRDefault="00616A85" w:rsidP="00616A85">
      <w:pPr>
        <w:spacing w:after="0" w:line="360" w:lineRule="auto"/>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b/>
          <w:color w:val="000000"/>
          <w:sz w:val="24"/>
          <w:szCs w:val="24"/>
          <w:lang w:val="en-GB"/>
        </w:rPr>
        <w:t xml:space="preserve">Conflict of interest: </w:t>
      </w:r>
      <w:r w:rsidRPr="00D010DB">
        <w:rPr>
          <w:rFonts w:ascii="Times New Roman" w:eastAsia="Calibri" w:hAnsi="Times New Roman" w:cs="Times New Roman"/>
          <w:color w:val="000000"/>
          <w:sz w:val="24"/>
          <w:szCs w:val="24"/>
          <w:lang w:val="en-GB"/>
        </w:rPr>
        <w:t>None</w:t>
      </w:r>
    </w:p>
    <w:p w:rsidR="00616A85" w:rsidRPr="006215A1" w:rsidRDefault="00616A85" w:rsidP="00616A85">
      <w:pPr>
        <w:spacing w:after="0" w:line="360" w:lineRule="auto"/>
        <w:jc w:val="both"/>
        <w:rPr>
          <w:rFonts w:ascii="Times New Roman" w:eastAsia="Calibri" w:hAnsi="Times New Roman" w:cs="Times New Roman"/>
          <w:b/>
          <w:color w:val="000000"/>
          <w:sz w:val="24"/>
          <w:szCs w:val="24"/>
          <w:lang w:val="en-GB"/>
        </w:rPr>
      </w:pPr>
    </w:p>
    <w:p w:rsidR="00616A85" w:rsidRPr="006215A1" w:rsidRDefault="00616A85" w:rsidP="00616A85">
      <w:pPr>
        <w:spacing w:after="0" w:line="360" w:lineRule="auto"/>
        <w:jc w:val="both"/>
        <w:rPr>
          <w:rFonts w:ascii="Times New Roman" w:eastAsia="Calibri" w:hAnsi="Times New Roman" w:cs="Times New Roman"/>
          <w:b/>
          <w:color w:val="000000"/>
          <w:sz w:val="24"/>
          <w:szCs w:val="24"/>
          <w:lang w:val="en-GB"/>
        </w:rPr>
      </w:pPr>
      <w:r w:rsidRPr="006215A1">
        <w:rPr>
          <w:rFonts w:ascii="Times New Roman" w:eastAsia="Calibri" w:hAnsi="Times New Roman" w:cs="Times New Roman"/>
          <w:b/>
          <w:color w:val="000000"/>
          <w:sz w:val="24"/>
          <w:szCs w:val="24"/>
          <w:lang w:val="en-GB"/>
        </w:rPr>
        <w:t xml:space="preserve">Funding: </w:t>
      </w:r>
      <w:r w:rsidRPr="00D010DB">
        <w:rPr>
          <w:rFonts w:ascii="Times New Roman" w:eastAsia="Calibri" w:hAnsi="Times New Roman" w:cs="Times New Roman"/>
          <w:color w:val="000000"/>
          <w:sz w:val="24"/>
          <w:szCs w:val="24"/>
          <w:lang w:val="en-GB"/>
        </w:rPr>
        <w:t>None</w:t>
      </w:r>
    </w:p>
    <w:p w:rsidR="00616A85" w:rsidRPr="006215A1" w:rsidRDefault="00616A85" w:rsidP="00616A85">
      <w:pPr>
        <w:spacing w:after="0" w:line="276" w:lineRule="auto"/>
        <w:jc w:val="both"/>
        <w:rPr>
          <w:rFonts w:ascii="Calibri" w:eastAsia="Calibri" w:hAnsi="Calibri" w:cs="Calibri"/>
          <w:b/>
          <w:color w:val="000000"/>
          <w:sz w:val="24"/>
          <w:szCs w:val="24"/>
          <w:lang w:val="en-GB"/>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Calibri" w:eastAsia="Calibri" w:hAnsi="Calibri" w:cs="Calibri"/>
          <w:b/>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ABSTRACT</w:t>
      </w:r>
    </w:p>
    <w:p w:rsidR="00616A85" w:rsidRPr="006215A1" w:rsidRDefault="00616A85" w:rsidP="00616A85">
      <w:pPr>
        <w:spacing w:after="0" w:line="480" w:lineRule="auto"/>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lastRenderedPageBreak/>
        <w:t xml:space="preserve">Background: </w:t>
      </w:r>
      <w:r w:rsidRPr="006215A1">
        <w:rPr>
          <w:rFonts w:ascii="Times New Roman" w:eastAsia="Calibri" w:hAnsi="Times New Roman" w:cs="Times New Roman"/>
          <w:color w:val="000000"/>
          <w:sz w:val="24"/>
          <w:szCs w:val="24"/>
        </w:rPr>
        <w:t xml:space="preserve">Oro-facial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is known to be a clinical presentation of neglected dental care. The proportion of children with dental sepsis has also been known to increase markedly with caries experience. Such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age group is known to progress rapidly within a short period and is thus potentially more fatal than in the adult population. </w:t>
      </w:r>
    </w:p>
    <w:p w:rsidR="00616A85" w:rsidRPr="006215A1"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b/>
          <w:color w:val="000000"/>
          <w:sz w:val="24"/>
          <w:szCs w:val="24"/>
        </w:rPr>
        <w:t>Aims:</w:t>
      </w:r>
      <w:r w:rsidRPr="006215A1">
        <w:rPr>
          <w:rFonts w:ascii="Times New Roman" w:eastAsia="Calibri" w:hAnsi="Times New Roman" w:cs="Times New Roman"/>
          <w:color w:val="000000"/>
          <w:sz w:val="24"/>
          <w:szCs w:val="24"/>
        </w:rPr>
        <w:t xml:space="preserve"> This study aimed to document and evaluate the pattern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amongst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Gambian population.  </w:t>
      </w:r>
    </w:p>
    <w:p w:rsidR="00616A85" w:rsidRPr="006215A1" w:rsidRDefault="00616A85" w:rsidP="00616A85">
      <w:pPr>
        <w:spacing w:after="0" w:line="480" w:lineRule="auto"/>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 xml:space="preserve">Patients and Methods: </w:t>
      </w:r>
      <w:r w:rsidRPr="006215A1">
        <w:rPr>
          <w:rFonts w:ascii="Times New Roman" w:eastAsia="Calibri" w:hAnsi="Times New Roman" w:cs="Times New Roman"/>
          <w:color w:val="000000"/>
          <w:sz w:val="24"/>
          <w:szCs w:val="24"/>
        </w:rPr>
        <w:t xml:space="preserve">The study was a 4-year descriptive retrospective survey of all patients with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seen and managed at the dental unit of the polyclinic attached to the Edward Francis Small Teaching Hospital in Banjul, The Gambia from May 2015 to April 2019. The information collated were patients’ </w:t>
      </w:r>
      <w:proofErr w:type="spellStart"/>
      <w:r w:rsidRPr="006215A1">
        <w:rPr>
          <w:rFonts w:ascii="Times New Roman" w:eastAsia="Calibri" w:hAnsi="Times New Roman" w:cs="Times New Roman"/>
          <w:color w:val="000000"/>
          <w:sz w:val="24"/>
          <w:szCs w:val="24"/>
        </w:rPr>
        <w:t>sociodemographic</w:t>
      </w:r>
      <w:proofErr w:type="spellEnd"/>
      <w:r w:rsidRPr="006215A1">
        <w:rPr>
          <w:rFonts w:ascii="Times New Roman" w:eastAsia="Calibri" w:hAnsi="Times New Roman" w:cs="Times New Roman"/>
          <w:color w:val="000000"/>
          <w:sz w:val="24"/>
          <w:szCs w:val="24"/>
        </w:rPr>
        <w:t xml:space="preserve"> data as well as clinical features related to their medical and dental condition. </w:t>
      </w:r>
      <w:r w:rsidRPr="006215A1">
        <w:rPr>
          <w:rFonts w:ascii="Times New Roman" w:eastAsia="Calibri" w:hAnsi="Times New Roman" w:cs="Times New Roman"/>
          <w:color w:val="000000"/>
          <w:sz w:val="24"/>
          <w:szCs w:val="24"/>
          <w:lang w:val="en-GB"/>
        </w:rPr>
        <w:t xml:space="preserve">The </w:t>
      </w:r>
      <w:r w:rsidRPr="006215A1">
        <w:rPr>
          <w:rFonts w:ascii="Times New Roman" w:eastAsia="Calibri" w:hAnsi="Times New Roman" w:cs="Times New Roman"/>
          <w:color w:val="000000"/>
          <w:sz w:val="24"/>
          <w:szCs w:val="24"/>
        </w:rPr>
        <w:t xml:space="preserve">extracted </w:t>
      </w:r>
      <w:r w:rsidRPr="006215A1">
        <w:rPr>
          <w:rFonts w:ascii="Times New Roman" w:eastAsia="Calibri" w:hAnsi="Times New Roman" w:cs="Times New Roman"/>
          <w:color w:val="000000"/>
          <w:sz w:val="24"/>
          <w:szCs w:val="24"/>
          <w:lang w:val="en-GB"/>
        </w:rPr>
        <w:t xml:space="preserve">data were </w:t>
      </w:r>
      <w:proofErr w:type="spellStart"/>
      <w:r w:rsidRPr="006215A1">
        <w:rPr>
          <w:rFonts w:ascii="Times New Roman" w:eastAsia="Calibri" w:hAnsi="Times New Roman" w:cs="Times New Roman"/>
          <w:color w:val="000000"/>
          <w:sz w:val="24"/>
          <w:szCs w:val="24"/>
          <w:lang w:val="en-GB"/>
        </w:rPr>
        <w:t>analyzed</w:t>
      </w:r>
      <w:proofErr w:type="spellEnd"/>
      <w:r w:rsidRPr="006215A1">
        <w:rPr>
          <w:rFonts w:ascii="Times New Roman" w:eastAsia="Calibri" w:hAnsi="Times New Roman" w:cs="Times New Roman"/>
          <w:color w:val="000000"/>
          <w:sz w:val="24"/>
          <w:szCs w:val="24"/>
          <w:lang w:val="en-GB"/>
        </w:rPr>
        <w:t xml:space="preserve"> using Statistical Package for Social Sciences (SPSS) version 15.0 (SPSS </w:t>
      </w:r>
      <w:proofErr w:type="spellStart"/>
      <w:r w:rsidRPr="006215A1">
        <w:rPr>
          <w:rFonts w:ascii="Times New Roman" w:eastAsia="Calibri" w:hAnsi="Times New Roman" w:cs="Times New Roman"/>
          <w:color w:val="000000"/>
          <w:sz w:val="24"/>
          <w:szCs w:val="24"/>
          <w:lang w:val="en-GB"/>
        </w:rPr>
        <w:t>Inc</w:t>
      </w:r>
      <w:proofErr w:type="spellEnd"/>
      <w:r w:rsidRPr="006215A1">
        <w:rPr>
          <w:rFonts w:ascii="Times New Roman" w:eastAsia="Calibri" w:hAnsi="Times New Roman" w:cs="Times New Roman"/>
          <w:color w:val="000000"/>
          <w:sz w:val="24"/>
          <w:szCs w:val="24"/>
          <w:lang w:val="en-GB"/>
        </w:rPr>
        <w:t>, Chicago, IL). Absolute numbers and simple percentages were used to describe categorical variables. Quantitative variables were described using mean (with standard deviation), median and range. Categorical variables were compared using chi square test and numeric variables compared using student t-test. Differences were considered significant if p&lt;0.05.</w:t>
      </w:r>
    </w:p>
    <w:p w:rsidR="00616A85" w:rsidRPr="006215A1" w:rsidRDefault="00616A85" w:rsidP="00616A85">
      <w:pPr>
        <w:spacing w:after="0" w:line="480" w:lineRule="auto"/>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 xml:space="preserve">Results: </w:t>
      </w:r>
      <w:r w:rsidRPr="006215A1">
        <w:rPr>
          <w:rFonts w:ascii="Times New Roman" w:eastAsia="Calibri" w:hAnsi="Times New Roman" w:cs="Times New Roman"/>
          <w:color w:val="000000"/>
          <w:sz w:val="24"/>
          <w:szCs w:val="24"/>
        </w:rPr>
        <w:t xml:space="preserve">A total of 322 patients with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were managed within the period of the study out of whom 93 patients that met the inclusion criteria were studied. Their ages ranged from 3 months to 16 years, with a mean age of 8.5(SD</w:t>
      </w:r>
      <w:r w:rsidRPr="006215A1">
        <w:rPr>
          <w:rFonts w:ascii="Times New Roman" w:eastAsia="Calibri" w:hAnsi="Times New Roman" w:cs="Times New Roman"/>
          <w:color w:val="000000"/>
          <w:sz w:val="24"/>
          <w:szCs w:val="24"/>
          <w:lang w:val="en-GB"/>
        </w:rPr>
        <w:t>2.1) years.</w:t>
      </w:r>
      <w:r w:rsidRPr="006215A1">
        <w:rPr>
          <w:rFonts w:ascii="Times New Roman" w:eastAsia="Calibri" w:hAnsi="Times New Roman" w:cs="Times New Roman"/>
          <w:color w:val="000000"/>
          <w:sz w:val="24"/>
          <w:szCs w:val="24"/>
        </w:rPr>
        <w:t xml:space="preserve"> There were 54 males and 39 females with a gender (M: F) ratio of 1.4: 1. All the patients presented with painful facial swelling and fever. Eighty-one (87.1%) had a history of toothache. The median number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involvement was 1 space; the submandibular space was involved unilaterally in 43 (46.2%) and bilaterally in 8 patients (8.6%). Eighty-one (87.1%) were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in origin and 12 (12.9%) were non-</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Seventy-two (88.89%) of </w:t>
      </w:r>
      <w:proofErr w:type="spellStart"/>
      <w:r w:rsidRPr="006215A1">
        <w:rPr>
          <w:rFonts w:ascii="Times New Roman" w:eastAsia="Calibri" w:hAnsi="Times New Roman" w:cs="Times New Roman"/>
          <w:color w:val="000000"/>
          <w:sz w:val="24"/>
          <w:szCs w:val="24"/>
        </w:rPr>
        <w:lastRenderedPageBreak/>
        <w:t>odontogenic</w:t>
      </w:r>
      <w:proofErr w:type="spellEnd"/>
      <w:r w:rsidRPr="006215A1">
        <w:rPr>
          <w:rFonts w:ascii="Times New Roman" w:eastAsia="Calibri" w:hAnsi="Times New Roman" w:cs="Times New Roman"/>
          <w:color w:val="000000"/>
          <w:sz w:val="24"/>
          <w:szCs w:val="24"/>
        </w:rPr>
        <w:t xml:space="preserve"> cases involved posterior teeth and 45 (62.5%) of these were the first permanent molars. Incision and decompression and teeth extraction were done for all the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cases. Staphylococci and/or streptococci were cultured from six patients. </w:t>
      </w:r>
    </w:p>
    <w:p w:rsidR="00616A85" w:rsidRPr="006215A1"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All the patients had inpatient treatment with a combination of intravenous amoxicillin, metronidazole and gentamicin treatment. Mortality rate was 5.4% (5 out of 93) and the mean age of patients who died, 3.0 (SD0.3) years, was significantly lower than that of those who survived, 8.3 (SD1.4) years, (p&lt;0.0001).</w:t>
      </w:r>
    </w:p>
    <w:p w:rsidR="00616A85" w:rsidRPr="006215A1" w:rsidRDefault="00616A85" w:rsidP="00616A85">
      <w:pPr>
        <w:spacing w:after="0" w:line="480" w:lineRule="auto"/>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 xml:space="preserve">Conclusion: </w:t>
      </w:r>
      <w:r w:rsidRPr="006215A1">
        <w:rPr>
          <w:rFonts w:ascii="Times New Roman" w:eastAsia="Calibri" w:hAnsi="Times New Roman" w:cs="Times New Roman"/>
          <w:color w:val="000000"/>
          <w:sz w:val="24"/>
          <w:szCs w:val="24"/>
        </w:rPr>
        <w:t xml:space="preserve">The commonest symptoms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in the Gambian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population were fever, facial swelling and toothache. Most of the infections were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and affected most commonly the submandibular space. Posterior teeth were more commonly involved than the anterior, with the first permanent molar being the most commonly affected tooth. Incision and decompression were performed in all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cases, with extraction of all culprit teeth. All patients had in-patient treatment with intravenous amoxicillin, metronidazole and gentamicin. The mortality rate was 5.4%. The burden of dental caries with its complications is huge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population of the Gambia. Training of dental surgeons and specialists and their auxiliaries with advocacy on the need for regular dental checkup for children, as well as prompt attention to dental diseases will help to reduce this scourge.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b/>
          <w:color w:val="000000"/>
          <w:sz w:val="24"/>
          <w:szCs w:val="24"/>
        </w:rPr>
        <w:t xml:space="preserve">Keywords: </w:t>
      </w:r>
      <w:r w:rsidRPr="006215A1">
        <w:rPr>
          <w:rFonts w:ascii="Times New Roman" w:eastAsia="Calibri" w:hAnsi="Times New Roman" w:cs="Times New Roman"/>
          <w:color w:val="000000"/>
          <w:sz w:val="24"/>
          <w:szCs w:val="24"/>
        </w:rPr>
        <w:t xml:space="preserve">Oro-facial,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Gambia</w:t>
      </w:r>
    </w:p>
    <w:p w:rsidR="00616A85" w:rsidRPr="006215A1" w:rsidRDefault="00616A85" w:rsidP="00616A85">
      <w:pPr>
        <w:spacing w:after="0" w:line="480" w:lineRule="auto"/>
        <w:ind w:right="-194"/>
        <w:jc w:val="both"/>
        <w:rPr>
          <w:rFonts w:ascii="Calibri" w:eastAsia="Calibri" w:hAnsi="Calibri" w:cs="Calibri"/>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Introduction</w:t>
      </w:r>
    </w:p>
    <w:p w:rsidR="00616A85" w:rsidRPr="006215A1" w:rsidRDefault="00616A85" w:rsidP="00616A85">
      <w:pPr>
        <w:spacing w:after="0" w:line="480" w:lineRule="auto"/>
        <w:ind w:right="-194"/>
        <w:jc w:val="both"/>
        <w:rPr>
          <w:rFonts w:ascii="Times New Roman" w:eastAsia="Times New Roman" w:hAnsi="Times New Roman" w:cs="Times New Roman"/>
          <w:color w:val="000000"/>
          <w:sz w:val="24"/>
          <w:szCs w:val="24"/>
          <w:lang w:val="en-GB"/>
        </w:rPr>
      </w:pPr>
      <w:r w:rsidRPr="006215A1">
        <w:rPr>
          <w:rFonts w:ascii="Times New Roman" w:eastAsia="Calibri" w:hAnsi="Times New Roman" w:cs="Times New Roman"/>
          <w:color w:val="000000"/>
          <w:sz w:val="24"/>
          <w:szCs w:val="24"/>
        </w:rPr>
        <w:t xml:space="preserve">Oro-facial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is relatively uncommon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age group.</w:t>
      </w:r>
      <w:r w:rsidRPr="006215A1">
        <w:rPr>
          <w:rFonts w:ascii="Times New Roman" w:eastAsia="Calibri" w:hAnsi="Times New Roman" w:cs="Times New Roman"/>
          <w:color w:val="000000"/>
          <w:sz w:val="24"/>
          <w:szCs w:val="24"/>
          <w:vertAlign w:val="superscript"/>
        </w:rPr>
        <w:t>1</w:t>
      </w:r>
      <w:r w:rsidRPr="006215A1">
        <w:rPr>
          <w:rFonts w:ascii="Times New Roman" w:eastAsia="Calibri" w:hAnsi="Times New Roman" w:cs="Times New Roman"/>
          <w:color w:val="000000"/>
          <w:sz w:val="24"/>
          <w:szCs w:val="24"/>
        </w:rPr>
        <w:t xml:space="preserve"> It has even become more uncommon in this era of advances in antibiotic therapy. When it occurs, it is usually of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origin</w:t>
      </w:r>
      <w:r w:rsidRPr="006215A1">
        <w:rPr>
          <w:rFonts w:ascii="Times New Roman" w:eastAsia="Calibri" w:hAnsi="Times New Roman" w:cs="Times New Roman"/>
          <w:color w:val="000000"/>
          <w:sz w:val="24"/>
          <w:szCs w:val="24"/>
          <w:vertAlign w:val="superscript"/>
        </w:rPr>
        <w:t>2</w:t>
      </w:r>
      <w:r w:rsidRPr="006215A1">
        <w:rPr>
          <w:rFonts w:ascii="Times New Roman" w:eastAsia="Calibri" w:hAnsi="Times New Roman" w:cs="Times New Roman"/>
          <w:color w:val="000000"/>
          <w:sz w:val="24"/>
          <w:szCs w:val="24"/>
        </w:rPr>
        <w:t xml:space="preserve"> and sometimes may be a reflection of the quality of dental care in a population. It has been said to be one of the clinical presentations of neglected dental care.</w:t>
      </w:r>
      <w:r w:rsidRPr="006215A1">
        <w:rPr>
          <w:rFonts w:ascii="Times New Roman" w:eastAsia="Calibri" w:hAnsi="Times New Roman" w:cs="Times New Roman"/>
          <w:color w:val="000000"/>
          <w:sz w:val="24"/>
          <w:szCs w:val="24"/>
          <w:vertAlign w:val="superscript"/>
        </w:rPr>
        <w:t>3</w:t>
      </w:r>
      <w:r w:rsidRPr="006215A1">
        <w:rPr>
          <w:rFonts w:ascii="Times New Roman" w:eastAsia="Calibri" w:hAnsi="Times New Roman" w:cs="Times New Roman"/>
          <w:color w:val="000000"/>
          <w:sz w:val="24"/>
          <w:szCs w:val="24"/>
        </w:rPr>
        <w:t xml:space="preserve"> </w:t>
      </w:r>
      <w:r w:rsidRPr="006215A1">
        <w:rPr>
          <w:rFonts w:ascii="Times New Roman" w:eastAsia="Calibri" w:hAnsi="Times New Roman" w:cs="Times New Roman"/>
          <w:color w:val="000000"/>
          <w:sz w:val="24"/>
          <w:szCs w:val="24"/>
        </w:rPr>
        <w:lastRenderedPageBreak/>
        <w:t>Previous studies have pointed to the fact that the proportion of children with dental sepsis increases markedly with caries occurence.</w:t>
      </w:r>
      <w:r w:rsidRPr="006215A1">
        <w:rPr>
          <w:rFonts w:ascii="Times New Roman" w:eastAsia="Calibri" w:hAnsi="Times New Roman" w:cs="Times New Roman"/>
          <w:color w:val="000000"/>
          <w:sz w:val="24"/>
          <w:szCs w:val="24"/>
          <w:vertAlign w:val="superscript"/>
        </w:rPr>
        <w:t>4</w:t>
      </w:r>
      <w:proofErr w:type="gramStart"/>
      <w:r w:rsidRPr="006215A1">
        <w:rPr>
          <w:rFonts w:ascii="Times New Roman" w:eastAsia="Calibri" w:hAnsi="Times New Roman" w:cs="Times New Roman"/>
          <w:color w:val="000000"/>
          <w:sz w:val="24"/>
          <w:szCs w:val="24"/>
          <w:vertAlign w:val="superscript"/>
        </w:rPr>
        <w:t>,5</w:t>
      </w:r>
      <w:proofErr w:type="gramEnd"/>
      <w:r w:rsidRPr="006215A1">
        <w:rPr>
          <w:rFonts w:ascii="Times New Roman" w:eastAsia="Calibri" w:hAnsi="Times New Roman" w:cs="Times New Roman"/>
          <w:color w:val="000000"/>
          <w:sz w:val="24"/>
          <w:szCs w:val="24"/>
        </w:rPr>
        <w:t xml:space="preserve"> The other causes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may be infection of the salivary glands, tonsils, adenoids, infected fractures as well as infections of other </w:t>
      </w:r>
      <w:proofErr w:type="spellStart"/>
      <w:r w:rsidRPr="006215A1">
        <w:rPr>
          <w:rFonts w:ascii="Times New Roman" w:eastAsia="Calibri" w:hAnsi="Times New Roman" w:cs="Times New Roman"/>
          <w:color w:val="000000"/>
          <w:sz w:val="24"/>
          <w:szCs w:val="24"/>
        </w:rPr>
        <w:t>peri</w:t>
      </w:r>
      <w:proofErr w:type="spellEnd"/>
      <w:r w:rsidRPr="006215A1">
        <w:rPr>
          <w:rFonts w:ascii="Times New Roman" w:eastAsia="Calibri" w:hAnsi="Times New Roman" w:cs="Times New Roman"/>
          <w:color w:val="000000"/>
          <w:sz w:val="24"/>
          <w:szCs w:val="24"/>
        </w:rPr>
        <w:t xml:space="preserve">-oral structures.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often arises as a sequel to pulp necrosis caused by caries, trauma or periodontitis. </w:t>
      </w:r>
      <w:r w:rsidRPr="006215A1">
        <w:rPr>
          <w:rFonts w:ascii="Times New Roman" w:eastAsia="Times New Roman" w:hAnsi="Times New Roman" w:cs="Times New Roman"/>
          <w:color w:val="000000"/>
          <w:sz w:val="24"/>
          <w:szCs w:val="24"/>
          <w:lang w:val="en-GB"/>
        </w:rPr>
        <w:t xml:space="preserve"> It could then progress beyond the alveolar bone to involve the </w:t>
      </w:r>
      <w:proofErr w:type="spellStart"/>
      <w:r w:rsidRPr="006215A1">
        <w:rPr>
          <w:rFonts w:ascii="Times New Roman" w:eastAsia="Times New Roman" w:hAnsi="Times New Roman" w:cs="Times New Roman"/>
          <w:color w:val="000000"/>
          <w:sz w:val="24"/>
          <w:szCs w:val="24"/>
          <w:lang w:val="en-GB"/>
        </w:rPr>
        <w:t>fascial</w:t>
      </w:r>
      <w:proofErr w:type="spellEnd"/>
      <w:r w:rsidRPr="006215A1">
        <w:rPr>
          <w:rFonts w:ascii="Times New Roman" w:eastAsia="Times New Roman" w:hAnsi="Times New Roman" w:cs="Times New Roman"/>
          <w:color w:val="000000"/>
          <w:sz w:val="24"/>
          <w:szCs w:val="24"/>
          <w:lang w:val="en-GB"/>
        </w:rPr>
        <w:t xml:space="preserve"> spaces around the face and oral cavity.</w:t>
      </w:r>
      <w:r w:rsidRPr="006215A1">
        <w:rPr>
          <w:rFonts w:ascii="Times New Roman" w:eastAsia="Times New Roman" w:hAnsi="Times New Roman" w:cs="Times New Roman"/>
          <w:color w:val="000000"/>
          <w:sz w:val="24"/>
          <w:szCs w:val="24"/>
          <w:vertAlign w:val="superscript"/>
          <w:lang w:val="en-GB"/>
        </w:rPr>
        <w:t>6</w:t>
      </w:r>
      <w:r w:rsidRPr="006215A1">
        <w:rPr>
          <w:rFonts w:ascii="Times New Roman" w:eastAsia="Times New Roman" w:hAnsi="Times New Roman" w:cs="Times New Roman"/>
          <w:color w:val="000000"/>
          <w:sz w:val="24"/>
          <w:szCs w:val="24"/>
          <w:lang w:val="en-GB"/>
        </w:rPr>
        <w:t xml:space="preserve"> These infections tend to spread along planes of least resistance from the supporting structures of the affected tooth.</w:t>
      </w:r>
      <w:r w:rsidRPr="006215A1">
        <w:rPr>
          <w:rFonts w:ascii="Times New Roman" w:eastAsia="Times New Roman" w:hAnsi="Times New Roman" w:cs="Times New Roman"/>
          <w:color w:val="000000"/>
          <w:sz w:val="24"/>
          <w:szCs w:val="24"/>
          <w:vertAlign w:val="superscript"/>
          <w:lang w:val="en-GB"/>
        </w:rPr>
        <w:t>7</w:t>
      </w:r>
      <w:r w:rsidRPr="006215A1">
        <w:rPr>
          <w:rFonts w:ascii="Times New Roman" w:eastAsia="Times New Roman" w:hAnsi="Times New Roman" w:cs="Times New Roman"/>
          <w:color w:val="000000"/>
          <w:sz w:val="24"/>
          <w:szCs w:val="24"/>
          <w:lang w:val="en-GB"/>
        </w:rPr>
        <w:t xml:space="preserve"> In the maxilla and mandible, it tends to start from the </w:t>
      </w:r>
      <w:proofErr w:type="spellStart"/>
      <w:r w:rsidRPr="006215A1">
        <w:rPr>
          <w:rFonts w:ascii="Times New Roman" w:eastAsia="Times New Roman" w:hAnsi="Times New Roman" w:cs="Times New Roman"/>
          <w:color w:val="000000"/>
          <w:sz w:val="24"/>
          <w:szCs w:val="24"/>
          <w:lang w:val="en-GB"/>
        </w:rPr>
        <w:t>buccal</w:t>
      </w:r>
      <w:proofErr w:type="spellEnd"/>
      <w:r w:rsidRPr="006215A1">
        <w:rPr>
          <w:rFonts w:ascii="Times New Roman" w:eastAsia="Times New Roman" w:hAnsi="Times New Roman" w:cs="Times New Roman"/>
          <w:color w:val="000000"/>
          <w:sz w:val="24"/>
          <w:szCs w:val="24"/>
          <w:lang w:val="en-GB"/>
        </w:rPr>
        <w:t xml:space="preserve"> and lingual sides respectively. These areas represent the region of the jaws where the alveolar bone is weakest; the infection then spreads posteriorly affecting the molar teeth, and could extend more anteriorly to involve the incisors and canine teeth.</w:t>
      </w:r>
      <w:r w:rsidRPr="006215A1">
        <w:rPr>
          <w:rFonts w:ascii="Times New Roman" w:eastAsia="Times New Roman" w:hAnsi="Times New Roman" w:cs="Times New Roman"/>
          <w:color w:val="000000"/>
          <w:sz w:val="24"/>
          <w:szCs w:val="24"/>
          <w:vertAlign w:val="superscript"/>
          <w:lang w:val="en-GB"/>
        </w:rPr>
        <w:t>7</w:t>
      </w:r>
      <w:r w:rsidRPr="006215A1">
        <w:rPr>
          <w:rFonts w:ascii="Times New Roman" w:eastAsia="Times New Roman" w:hAnsi="Times New Roman" w:cs="Times New Roman"/>
          <w:color w:val="000000"/>
          <w:sz w:val="24"/>
          <w:szCs w:val="24"/>
          <w:lang w:val="en-GB"/>
        </w:rPr>
        <w:t xml:space="preserve"> It is known that when </w:t>
      </w:r>
      <w:proofErr w:type="spellStart"/>
      <w:r w:rsidRPr="006215A1">
        <w:rPr>
          <w:rFonts w:ascii="Times New Roman" w:eastAsia="Times New Roman" w:hAnsi="Times New Roman" w:cs="Times New Roman"/>
          <w:color w:val="000000"/>
          <w:sz w:val="24"/>
          <w:szCs w:val="24"/>
          <w:lang w:val="en-GB"/>
        </w:rPr>
        <w:t>fascial</w:t>
      </w:r>
      <w:proofErr w:type="spellEnd"/>
      <w:r w:rsidRPr="006215A1">
        <w:rPr>
          <w:rFonts w:ascii="Times New Roman" w:eastAsia="Times New Roman" w:hAnsi="Times New Roman" w:cs="Times New Roman"/>
          <w:color w:val="000000"/>
          <w:sz w:val="24"/>
          <w:szCs w:val="24"/>
          <w:lang w:val="en-GB"/>
        </w:rPr>
        <w:t xml:space="preserve"> space infection is of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origin, location of the affected tooth predicts the route of spread and which </w:t>
      </w:r>
      <w:proofErr w:type="spellStart"/>
      <w:r w:rsidRPr="006215A1">
        <w:rPr>
          <w:rFonts w:ascii="Times New Roman" w:eastAsia="Times New Roman" w:hAnsi="Times New Roman" w:cs="Times New Roman"/>
          <w:color w:val="000000"/>
          <w:sz w:val="24"/>
          <w:szCs w:val="24"/>
          <w:lang w:val="en-GB"/>
        </w:rPr>
        <w:t>oro</w:t>
      </w:r>
      <w:proofErr w:type="spellEnd"/>
      <w:r w:rsidRPr="006215A1">
        <w:rPr>
          <w:rFonts w:ascii="Times New Roman" w:eastAsia="Times New Roman" w:hAnsi="Times New Roman" w:cs="Times New Roman"/>
          <w:color w:val="000000"/>
          <w:sz w:val="24"/>
          <w:szCs w:val="24"/>
          <w:lang w:val="en-GB"/>
        </w:rPr>
        <w:t>-facial spaces ultimately become infected.</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These infections usually present in the form of cellulitis or abscess and may become fatal if prompt care is not instituted.</w:t>
      </w:r>
      <w:r w:rsidRPr="006215A1">
        <w:rPr>
          <w:rFonts w:ascii="Times New Roman" w:eastAsia="Calibri" w:hAnsi="Times New Roman" w:cs="Times New Roman"/>
          <w:color w:val="000000"/>
          <w:sz w:val="24"/>
          <w:szCs w:val="24"/>
          <w:vertAlign w:val="superscript"/>
        </w:rPr>
        <w:t>8</w:t>
      </w:r>
      <w:r w:rsidRPr="006215A1">
        <w:rPr>
          <w:rFonts w:ascii="Times New Roman" w:eastAsia="Calibri" w:hAnsi="Times New Roman" w:cs="Times New Roman"/>
          <w:color w:val="000000"/>
          <w:sz w:val="24"/>
          <w:szCs w:val="24"/>
        </w:rPr>
        <w:t xml:space="preserve"> </w:t>
      </w:r>
      <w:proofErr w:type="gramStart"/>
      <w:r w:rsidRPr="006215A1">
        <w:rPr>
          <w:rFonts w:ascii="Times New Roman" w:eastAsia="Calibri" w:hAnsi="Times New Roman" w:cs="Times New Roman"/>
          <w:color w:val="000000"/>
          <w:sz w:val="24"/>
          <w:szCs w:val="24"/>
        </w:rPr>
        <w:t>They</w:t>
      </w:r>
      <w:proofErr w:type="gramEnd"/>
      <w:r w:rsidRPr="006215A1">
        <w:rPr>
          <w:rFonts w:ascii="Times New Roman" w:eastAsia="Calibri" w:hAnsi="Times New Roman" w:cs="Times New Roman"/>
          <w:color w:val="000000"/>
          <w:sz w:val="24"/>
          <w:szCs w:val="24"/>
        </w:rPr>
        <w:t xml:space="preserve"> commonly start from the primary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spaces, and may then spread to involve the secondary spaces and even extra-facial regions.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Ludwig’s angina is a severe form of these infections; its diagnosis is made mainly on clinical grounds when there is simultaneous and bilateral involvement of the submandibular and sublingual spaces as well as the </w:t>
      </w:r>
      <w:proofErr w:type="spellStart"/>
      <w:r w:rsidRPr="006215A1">
        <w:rPr>
          <w:rFonts w:ascii="Times New Roman" w:eastAsia="Calibri" w:hAnsi="Times New Roman" w:cs="Times New Roman"/>
          <w:color w:val="000000"/>
          <w:sz w:val="24"/>
          <w:szCs w:val="24"/>
        </w:rPr>
        <w:t>submental</w:t>
      </w:r>
      <w:proofErr w:type="spellEnd"/>
      <w:r w:rsidRPr="006215A1">
        <w:rPr>
          <w:rFonts w:ascii="Times New Roman" w:eastAsia="Calibri" w:hAnsi="Times New Roman" w:cs="Times New Roman"/>
          <w:color w:val="000000"/>
          <w:sz w:val="24"/>
          <w:szCs w:val="24"/>
        </w:rPr>
        <w:t xml:space="preserve"> space, which is often by lymphatic communication.</w:t>
      </w:r>
    </w:p>
    <w:p w:rsidR="00616A85" w:rsidRPr="006215A1" w:rsidRDefault="00616A85" w:rsidP="00616A85">
      <w:pPr>
        <w:spacing w:after="0" w:line="480" w:lineRule="auto"/>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rPr>
        <w:t xml:space="preserve">Oro-facial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is known to be uncommon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age group and it may progress rapidly, becoming severe disease within a short period of time. It is thus potentially more fatal than in the adult population.</w:t>
      </w:r>
      <w:r w:rsidRPr="006215A1">
        <w:rPr>
          <w:rFonts w:ascii="Times New Roman" w:eastAsia="Calibri" w:hAnsi="Times New Roman" w:cs="Times New Roman"/>
          <w:color w:val="000000"/>
          <w:sz w:val="24"/>
          <w:szCs w:val="24"/>
          <w:vertAlign w:val="superscript"/>
        </w:rPr>
        <w:t>8</w:t>
      </w:r>
      <w:r w:rsidRPr="006215A1">
        <w:rPr>
          <w:rFonts w:ascii="Times New Roman" w:eastAsia="Times New Roman" w:hAnsi="Times New Roman" w:cs="Times New Roman"/>
          <w:color w:val="000000"/>
          <w:sz w:val="24"/>
          <w:szCs w:val="24"/>
          <w:lang w:val="en-GB"/>
        </w:rPr>
        <w:t xml:space="preserve"> </w:t>
      </w:r>
      <w:proofErr w:type="gramStart"/>
      <w:r w:rsidRPr="006215A1">
        <w:rPr>
          <w:rFonts w:ascii="Times New Roman" w:eastAsia="Calibri" w:hAnsi="Times New Roman" w:cs="Times New Roman"/>
          <w:color w:val="000000"/>
          <w:sz w:val="24"/>
          <w:szCs w:val="24"/>
        </w:rPr>
        <w:t>Unlike</w:t>
      </w:r>
      <w:proofErr w:type="gramEnd"/>
      <w:r w:rsidRPr="006215A1">
        <w:rPr>
          <w:rFonts w:ascii="Times New Roman" w:eastAsia="Calibri" w:hAnsi="Times New Roman" w:cs="Times New Roman"/>
          <w:color w:val="000000"/>
          <w:sz w:val="24"/>
          <w:szCs w:val="24"/>
        </w:rPr>
        <w:t xml:space="preserve"> in the adult population where these infections are often of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origin, there may not be any culprit tooth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age group. When these infections occur in the very young, there may be the need to rule out immune system compromise. </w:t>
      </w:r>
      <w:proofErr w:type="spellStart"/>
      <w:r w:rsidRPr="006215A1">
        <w:rPr>
          <w:rFonts w:ascii="Times New Roman" w:eastAsia="Times New Roman" w:hAnsi="Times New Roman" w:cs="Times New Roman"/>
          <w:color w:val="000000"/>
          <w:sz w:val="24"/>
          <w:szCs w:val="24"/>
          <w:lang w:val="en-GB"/>
        </w:rPr>
        <w:t>Manal</w:t>
      </w:r>
      <w:proofErr w:type="spellEnd"/>
      <w:r w:rsidRPr="006215A1">
        <w:rPr>
          <w:rFonts w:ascii="Times New Roman" w:eastAsia="Times New Roman" w:hAnsi="Times New Roman" w:cs="Times New Roman"/>
          <w:color w:val="000000"/>
          <w:sz w:val="24"/>
          <w:szCs w:val="24"/>
          <w:lang w:val="en-GB"/>
        </w:rPr>
        <w:t xml:space="preserve"> and Maha</w:t>
      </w:r>
      <w:r w:rsidRPr="006215A1">
        <w:rPr>
          <w:rFonts w:ascii="Times New Roman" w:eastAsia="Times New Roman" w:hAnsi="Times New Roman" w:cs="Times New Roman"/>
          <w:color w:val="000000"/>
          <w:sz w:val="24"/>
          <w:szCs w:val="24"/>
          <w:vertAlign w:val="superscript"/>
          <w:lang w:val="en-GB"/>
        </w:rPr>
        <w:t>1</w:t>
      </w:r>
      <w:r w:rsidRPr="006215A1">
        <w:rPr>
          <w:rFonts w:ascii="Times New Roman" w:eastAsia="Times New Roman" w:hAnsi="Times New Roman" w:cs="Times New Roman"/>
          <w:color w:val="000000"/>
          <w:sz w:val="24"/>
          <w:szCs w:val="24"/>
          <w:lang w:val="en-GB"/>
        </w:rPr>
        <w:t xml:space="preserve"> noted that paediatric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infections </w:t>
      </w:r>
      <w:r w:rsidRPr="006215A1">
        <w:rPr>
          <w:rFonts w:ascii="Times New Roman" w:eastAsia="Times New Roman" w:hAnsi="Times New Roman" w:cs="Times New Roman"/>
          <w:color w:val="000000"/>
          <w:sz w:val="24"/>
          <w:szCs w:val="24"/>
          <w:lang w:val="en-GB"/>
        </w:rPr>
        <w:lastRenderedPageBreak/>
        <w:t xml:space="preserve">and their management continue to be a challenge for clinicians because they are uncommon. Hence, individual clinicians usually do not see enough cases to develop a systematic treatment plan.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vertAlign w:val="superscript"/>
        </w:rPr>
      </w:pPr>
      <w:r w:rsidRPr="006215A1">
        <w:rPr>
          <w:rFonts w:ascii="Times New Roman" w:eastAsia="Calibri" w:hAnsi="Times New Roman" w:cs="Times New Roman"/>
          <w:color w:val="000000"/>
          <w:sz w:val="24"/>
          <w:szCs w:val="24"/>
        </w:rPr>
        <w:t>The principles of management of these infections entail securing the airway when compromise is imminent; Ehrenfeld</w:t>
      </w:r>
      <w:r w:rsidRPr="006215A1">
        <w:rPr>
          <w:rFonts w:ascii="Times New Roman" w:eastAsia="Calibri" w:hAnsi="Times New Roman" w:cs="Times New Roman"/>
          <w:color w:val="000000"/>
          <w:sz w:val="24"/>
          <w:szCs w:val="24"/>
          <w:vertAlign w:val="superscript"/>
        </w:rPr>
        <w:t>9</w:t>
      </w:r>
      <w:r w:rsidRPr="006215A1">
        <w:rPr>
          <w:rFonts w:ascii="Times New Roman" w:eastAsia="Calibri" w:hAnsi="Times New Roman" w:cs="Times New Roman"/>
          <w:color w:val="000000"/>
          <w:sz w:val="24"/>
          <w:szCs w:val="24"/>
        </w:rPr>
        <w:t xml:space="preserve"> and </w:t>
      </w:r>
      <w:proofErr w:type="spellStart"/>
      <w:r w:rsidRPr="006215A1">
        <w:rPr>
          <w:rFonts w:ascii="Times New Roman" w:eastAsia="Calibri" w:hAnsi="Times New Roman" w:cs="Times New Roman"/>
          <w:color w:val="000000"/>
          <w:sz w:val="24"/>
          <w:szCs w:val="24"/>
        </w:rPr>
        <w:t>Chunduri</w:t>
      </w:r>
      <w:proofErr w:type="spellEnd"/>
      <w:r w:rsidRPr="006215A1">
        <w:rPr>
          <w:rFonts w:ascii="Times New Roman" w:eastAsia="Calibri" w:hAnsi="Times New Roman" w:cs="Times New Roman"/>
          <w:color w:val="000000"/>
          <w:sz w:val="24"/>
          <w:szCs w:val="24"/>
        </w:rPr>
        <w:t xml:space="preserve"> </w:t>
      </w:r>
      <w:proofErr w:type="gramStart"/>
      <w:r w:rsidRPr="006215A1">
        <w:rPr>
          <w:rFonts w:ascii="Times New Roman" w:eastAsia="Calibri" w:hAnsi="Times New Roman" w:cs="Times New Roman"/>
          <w:color w:val="000000"/>
          <w:sz w:val="24"/>
          <w:szCs w:val="24"/>
        </w:rPr>
        <w:t>et</w:t>
      </w:r>
      <w:proofErr w:type="gramEnd"/>
      <w:r w:rsidRPr="006215A1">
        <w:rPr>
          <w:rFonts w:ascii="Times New Roman" w:eastAsia="Calibri" w:hAnsi="Times New Roman" w:cs="Times New Roman"/>
          <w:color w:val="000000"/>
          <w:sz w:val="24"/>
          <w:szCs w:val="24"/>
        </w:rPr>
        <w:t xml:space="preserve"> al</w:t>
      </w:r>
      <w:r w:rsidRPr="006215A1">
        <w:rPr>
          <w:rFonts w:ascii="Times New Roman" w:eastAsia="Calibri" w:hAnsi="Times New Roman" w:cs="Times New Roman"/>
          <w:color w:val="000000"/>
          <w:sz w:val="24"/>
          <w:szCs w:val="24"/>
          <w:vertAlign w:val="superscript"/>
        </w:rPr>
        <w:t>10</w:t>
      </w:r>
      <w:r w:rsidRPr="006215A1">
        <w:rPr>
          <w:rFonts w:ascii="Times New Roman" w:eastAsia="Calibri" w:hAnsi="Times New Roman" w:cs="Times New Roman"/>
          <w:color w:val="000000"/>
          <w:sz w:val="24"/>
          <w:szCs w:val="24"/>
        </w:rPr>
        <w:t xml:space="preserve"> noted that </w:t>
      </w:r>
      <w:r w:rsidRPr="006215A1">
        <w:rPr>
          <w:rFonts w:ascii="Times New Roman" w:eastAsia="Times New Roman" w:hAnsi="Times New Roman" w:cs="Times New Roman"/>
          <w:color w:val="000000"/>
          <w:sz w:val="24"/>
          <w:szCs w:val="24"/>
          <w:lang w:val="en-GB"/>
        </w:rPr>
        <w:t xml:space="preserve">airway maintenance during abscess drainage is a condition sine qua non. </w:t>
      </w:r>
      <w:r w:rsidRPr="006215A1">
        <w:rPr>
          <w:rFonts w:ascii="Times New Roman" w:eastAsia="Calibri" w:hAnsi="Times New Roman" w:cs="Times New Roman"/>
          <w:color w:val="000000"/>
          <w:sz w:val="24"/>
          <w:szCs w:val="24"/>
        </w:rPr>
        <w:t>Others include incision and decompression, antibiotic therapy as well as extraction of the implicated tooth if cause is odontogenic.</w:t>
      </w:r>
      <w:r w:rsidRPr="006215A1">
        <w:rPr>
          <w:rFonts w:ascii="Times New Roman" w:eastAsia="Calibri" w:hAnsi="Times New Roman" w:cs="Times New Roman"/>
          <w:color w:val="000000"/>
          <w:sz w:val="24"/>
          <w:szCs w:val="24"/>
          <w:vertAlign w:val="superscript"/>
        </w:rPr>
        <w:t>11</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The aim of this study was to evaluate the pattern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amongst a known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Gambian population, determining clinical presentation, management and outcomes. </w:t>
      </w:r>
    </w:p>
    <w:p w:rsidR="00616A85" w:rsidRDefault="00616A85" w:rsidP="00616A85">
      <w:pPr>
        <w:spacing w:after="0" w:line="480" w:lineRule="auto"/>
        <w:ind w:right="-194"/>
        <w:jc w:val="both"/>
        <w:rPr>
          <w:rFonts w:ascii="Times New Roman" w:eastAsia="Calibri" w:hAnsi="Times New Roman" w:cs="Times New Roman"/>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Patients and Methods</w:t>
      </w:r>
    </w:p>
    <w:p w:rsidR="00616A85" w:rsidRPr="006215A1" w:rsidRDefault="00616A85" w:rsidP="00616A85">
      <w:pPr>
        <w:spacing w:after="0" w:line="480" w:lineRule="auto"/>
        <w:jc w:val="both"/>
        <w:rPr>
          <w:rFonts w:ascii="Times New Roman" w:eastAsia="Calibri" w:hAnsi="Times New Roman" w:cs="Times New Roman"/>
          <w:strike/>
          <w:color w:val="000000"/>
          <w:sz w:val="24"/>
          <w:szCs w:val="24"/>
          <w:lang w:val="en-GB"/>
        </w:rPr>
      </w:pPr>
      <w:r w:rsidRPr="006215A1">
        <w:rPr>
          <w:rFonts w:ascii="Times New Roman" w:eastAsia="Calibri" w:hAnsi="Times New Roman" w:cs="Times New Roman"/>
          <w:color w:val="000000"/>
          <w:sz w:val="24"/>
          <w:szCs w:val="24"/>
        </w:rPr>
        <w:t xml:space="preserve">The study was a 4-year descriptive retrospective survey of all patients aged 0-16 years with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space infection seen and managed in the dental unit of the polyclinic attached to the Edward Francis Small Teaching Hospital in Banjul, The Gambia from May 2015 to April 2019. Inclusion criteria were patients’ whose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swellings were preceded by fever, with or without tooth ache, and recent onset swelling within the preceding 7 days. Patients with co-existing neoplastic lesions were excluded. Information was obtained from the clinic registers as well as the records at the accident and emergency department. Data extracted included age, gender, area of residence, previous history of dental clinic visit, presenting clinical features, number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spaces involved and diagnosis. Others included duration of admission, treatment given and the outcome.</w:t>
      </w:r>
      <w:r w:rsidRPr="006215A1">
        <w:rPr>
          <w:rFonts w:ascii="Times New Roman" w:eastAsia="Calibri" w:hAnsi="Times New Roman" w:cs="Times New Roman"/>
          <w:b/>
          <w:color w:val="000000"/>
          <w:sz w:val="24"/>
          <w:szCs w:val="24"/>
        </w:rPr>
        <w:t xml:space="preserve"> </w:t>
      </w:r>
      <w:r w:rsidRPr="006215A1">
        <w:rPr>
          <w:rFonts w:ascii="Times New Roman" w:eastAsia="Calibri" w:hAnsi="Times New Roman" w:cs="Times New Roman"/>
          <w:color w:val="000000"/>
          <w:sz w:val="24"/>
          <w:szCs w:val="24"/>
          <w:lang w:val="en-GB"/>
        </w:rPr>
        <w:t xml:space="preserve">The </w:t>
      </w:r>
      <w:r w:rsidRPr="006215A1">
        <w:rPr>
          <w:rFonts w:ascii="Times New Roman" w:eastAsia="Calibri" w:hAnsi="Times New Roman" w:cs="Times New Roman"/>
          <w:color w:val="000000"/>
          <w:sz w:val="24"/>
          <w:szCs w:val="24"/>
        </w:rPr>
        <w:t xml:space="preserve">extracted </w:t>
      </w:r>
      <w:r w:rsidRPr="006215A1">
        <w:rPr>
          <w:rFonts w:ascii="Times New Roman" w:eastAsia="Calibri" w:hAnsi="Times New Roman" w:cs="Times New Roman"/>
          <w:color w:val="000000"/>
          <w:sz w:val="24"/>
          <w:szCs w:val="24"/>
          <w:lang w:val="en-GB"/>
        </w:rPr>
        <w:t xml:space="preserve">data were </w:t>
      </w:r>
      <w:proofErr w:type="spellStart"/>
      <w:r w:rsidRPr="006215A1">
        <w:rPr>
          <w:rFonts w:ascii="Times New Roman" w:eastAsia="Calibri" w:hAnsi="Times New Roman" w:cs="Times New Roman"/>
          <w:color w:val="000000"/>
          <w:sz w:val="24"/>
          <w:szCs w:val="24"/>
          <w:lang w:val="en-GB"/>
        </w:rPr>
        <w:t>analyzed</w:t>
      </w:r>
      <w:proofErr w:type="spellEnd"/>
      <w:r w:rsidRPr="006215A1">
        <w:rPr>
          <w:rFonts w:ascii="Times New Roman" w:eastAsia="Calibri" w:hAnsi="Times New Roman" w:cs="Times New Roman"/>
          <w:color w:val="000000"/>
          <w:sz w:val="24"/>
          <w:szCs w:val="24"/>
          <w:lang w:val="en-GB"/>
        </w:rPr>
        <w:t xml:space="preserve"> using Statistical Package for Social Sciences (SPSS) version 15.0 (SPSS </w:t>
      </w:r>
      <w:proofErr w:type="spellStart"/>
      <w:r w:rsidRPr="006215A1">
        <w:rPr>
          <w:rFonts w:ascii="Times New Roman" w:eastAsia="Calibri" w:hAnsi="Times New Roman" w:cs="Times New Roman"/>
          <w:color w:val="000000"/>
          <w:sz w:val="24"/>
          <w:szCs w:val="24"/>
          <w:lang w:val="en-GB"/>
        </w:rPr>
        <w:t>Inc</w:t>
      </w:r>
      <w:proofErr w:type="spellEnd"/>
      <w:r w:rsidRPr="006215A1">
        <w:rPr>
          <w:rFonts w:ascii="Times New Roman" w:eastAsia="Calibri" w:hAnsi="Times New Roman" w:cs="Times New Roman"/>
          <w:color w:val="000000"/>
          <w:sz w:val="24"/>
          <w:szCs w:val="24"/>
          <w:lang w:val="en-GB"/>
        </w:rPr>
        <w:t xml:space="preserve">, Chicago, IL). Absolute numbers and simple percentages were used to describe categorical variables. Numeric variables were described using mean (with standard deviation), median and range. Categorical variables were compared </w:t>
      </w:r>
      <w:r w:rsidRPr="006215A1">
        <w:rPr>
          <w:rFonts w:ascii="Times New Roman" w:eastAsia="Calibri" w:hAnsi="Times New Roman" w:cs="Times New Roman"/>
          <w:color w:val="000000"/>
          <w:sz w:val="24"/>
          <w:szCs w:val="24"/>
          <w:lang w:val="en-GB"/>
        </w:rPr>
        <w:lastRenderedPageBreak/>
        <w:t>using chi square tests and numeric variables compared using student t-test. Differences were considered significant if p&lt;0.05.</w:t>
      </w:r>
    </w:p>
    <w:p w:rsidR="00616A85" w:rsidRDefault="00616A85" w:rsidP="00616A85">
      <w:pPr>
        <w:spacing w:after="0" w:line="480" w:lineRule="auto"/>
        <w:ind w:right="-194"/>
        <w:jc w:val="both"/>
        <w:rPr>
          <w:rFonts w:ascii="Times New Roman" w:eastAsia="Calibri" w:hAnsi="Times New Roman" w:cs="Times New Roman"/>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Results</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A total of 322 patients with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were seen and managed during the study period. Their ages ranged from 3 months to 65 years, and 93 (28.9%) patients fell within 16 years of age which was consistent with our hospital definition of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age group. There were 54 males and 39 females giving a male: female ratio of 1.4: 1.</w:t>
      </w:r>
      <w:r w:rsidRPr="006215A1">
        <w:rPr>
          <w:rFonts w:ascii="Times New Roman" w:eastAsia="Calibri" w:hAnsi="Times New Roman" w:cs="Times New Roman"/>
          <w:b/>
          <w:color w:val="000000"/>
          <w:sz w:val="24"/>
          <w:szCs w:val="24"/>
        </w:rPr>
        <w:t xml:space="preserve"> </w:t>
      </w:r>
      <w:r w:rsidRPr="006215A1">
        <w:rPr>
          <w:rFonts w:ascii="Times New Roman" w:eastAsia="Calibri" w:hAnsi="Times New Roman" w:cs="Times New Roman"/>
          <w:color w:val="000000"/>
          <w:sz w:val="24"/>
          <w:szCs w:val="24"/>
        </w:rPr>
        <w:t>The mean age of the 93 patients was 8.5</w:t>
      </w:r>
      <w:r w:rsidRPr="006215A1">
        <w:rPr>
          <w:rFonts w:ascii="Times New Roman" w:eastAsia="Calibri" w:hAnsi="Times New Roman" w:cs="Times New Roman"/>
          <w:color w:val="000000"/>
          <w:sz w:val="24"/>
          <w:szCs w:val="24"/>
          <w:lang w:val="en-GB"/>
        </w:rPr>
        <w:t>(SD2.1) years</w:t>
      </w:r>
      <w:r w:rsidRPr="006215A1">
        <w:rPr>
          <w:rFonts w:ascii="Times New Roman" w:eastAsia="Calibri" w:hAnsi="Times New Roman" w:cs="Times New Roman"/>
          <w:color w:val="000000"/>
          <w:sz w:val="24"/>
          <w:szCs w:val="24"/>
        </w:rPr>
        <w:t xml:space="preserve">. There was no statistically significant difference in the mean ages of the male and female patients </w:t>
      </w:r>
      <w:r w:rsidRPr="006215A1">
        <w:rPr>
          <w:rFonts w:ascii="Times New Roman" w:eastAsia="Calibri" w:hAnsi="Times New Roman" w:cs="Times New Roman"/>
          <w:bCs/>
          <w:color w:val="000000"/>
          <w:sz w:val="24"/>
          <w:szCs w:val="24"/>
        </w:rPr>
        <w:t xml:space="preserve">(males 8.6[SD1.0], females 8.40[SD0.1], p= 0.217 </w:t>
      </w:r>
      <w:proofErr w:type="gramStart"/>
      <w:r w:rsidRPr="006215A1">
        <w:rPr>
          <w:rFonts w:ascii="Times New Roman" w:eastAsia="Calibri" w:hAnsi="Times New Roman" w:cs="Times New Roman"/>
          <w:color w:val="000000"/>
          <w:sz w:val="24"/>
          <w:szCs w:val="24"/>
        </w:rPr>
        <w:t>The</w:t>
      </w:r>
      <w:proofErr w:type="gramEnd"/>
      <w:r w:rsidRPr="006215A1">
        <w:rPr>
          <w:rFonts w:ascii="Times New Roman" w:eastAsia="Calibri" w:hAnsi="Times New Roman" w:cs="Times New Roman"/>
          <w:color w:val="000000"/>
          <w:sz w:val="24"/>
          <w:szCs w:val="24"/>
        </w:rPr>
        <w:t xml:space="preserve"> age distribution of the patients is shown in Table 1. </w:t>
      </w:r>
    </w:p>
    <w:p w:rsidR="00616A85" w:rsidRPr="006215A1"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All the patients presented with complaints of painful facial swelling and pre-existing fever. Eighty-one (87.1%) had a history of toothache; other symptoms included </w:t>
      </w:r>
      <w:proofErr w:type="spellStart"/>
      <w:r w:rsidRPr="006215A1">
        <w:rPr>
          <w:rFonts w:ascii="Times New Roman" w:eastAsia="Calibri" w:hAnsi="Times New Roman" w:cs="Times New Roman"/>
          <w:color w:val="000000"/>
          <w:sz w:val="24"/>
          <w:szCs w:val="24"/>
        </w:rPr>
        <w:t>trismus</w:t>
      </w:r>
      <w:proofErr w:type="spellEnd"/>
      <w:r w:rsidRPr="006215A1">
        <w:rPr>
          <w:rFonts w:ascii="Times New Roman" w:eastAsia="Calibri" w:hAnsi="Times New Roman" w:cs="Times New Roman"/>
          <w:color w:val="000000"/>
          <w:sz w:val="24"/>
          <w:szCs w:val="24"/>
        </w:rPr>
        <w:t xml:space="preserve">, halitosis and dysphagia. They all had tender facial swellings; those who complained of toothache had carious teeth as well as collection of pus. The median number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spaces involved was 1 space. The submandibular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was the commonest involved: 43 (46.2%) had single space involvement while 8 (8.6%) had bilateral involvement without involvement of sublingual spaces. Ludwig’s angina was recorded in 5 (5.4%) patients. Other patients presented with isolated </w:t>
      </w:r>
      <w:proofErr w:type="spellStart"/>
      <w:r w:rsidRPr="006215A1">
        <w:rPr>
          <w:rFonts w:ascii="Times New Roman" w:eastAsia="Calibri" w:hAnsi="Times New Roman" w:cs="Times New Roman"/>
          <w:color w:val="000000"/>
          <w:sz w:val="24"/>
          <w:szCs w:val="24"/>
        </w:rPr>
        <w:t>submental</w:t>
      </w:r>
      <w:proofErr w:type="spellEnd"/>
      <w:r w:rsidRPr="006215A1">
        <w:rPr>
          <w:rFonts w:ascii="Times New Roman" w:eastAsia="Calibri" w:hAnsi="Times New Roman" w:cs="Times New Roman"/>
          <w:color w:val="000000"/>
          <w:sz w:val="24"/>
          <w:szCs w:val="24"/>
        </w:rPr>
        <w:t xml:space="preserve"> space infection and a combination of primary with involvement of adjoining secondary spaces.  The least involved single space was the temporal space in 6 patients. The distribution of the </w:t>
      </w:r>
      <w:proofErr w:type="spellStart"/>
      <w:r w:rsidRPr="006215A1">
        <w:rPr>
          <w:rFonts w:ascii="Times New Roman" w:eastAsia="Calibri" w:hAnsi="Times New Roman" w:cs="Times New Roman"/>
          <w:color w:val="000000"/>
          <w:sz w:val="24"/>
          <w:szCs w:val="24"/>
        </w:rPr>
        <w:t>orofacial</w:t>
      </w:r>
      <w:proofErr w:type="spellEnd"/>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w:t>
      </w:r>
      <w:r>
        <w:rPr>
          <w:rFonts w:ascii="Times New Roman" w:eastAsia="Calibri" w:hAnsi="Times New Roman" w:cs="Times New Roman"/>
          <w:color w:val="000000"/>
          <w:sz w:val="24"/>
          <w:szCs w:val="24"/>
        </w:rPr>
        <w:t xml:space="preserve">ace infection is shown in Table </w:t>
      </w:r>
      <w:r w:rsidRPr="006215A1">
        <w:rPr>
          <w:rFonts w:ascii="Times New Roman" w:eastAsia="Calibri" w:hAnsi="Times New Roman" w:cs="Times New Roman"/>
          <w:color w:val="000000"/>
          <w:sz w:val="24"/>
          <w:szCs w:val="24"/>
        </w:rPr>
        <w:t xml:space="preserve">2. </w:t>
      </w:r>
    </w:p>
    <w:p w:rsidR="00616A85"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Eighty-one (87.1%) of the cases were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in origin and 12 (12.9%) were of non-</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origin. Of the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infections 72 (88.9%) had posterior teeth and 9 (11.1%) had anterior teeth being the origin of the infections. Children aged 10 years and above formed a higher proportion of the involved teeth (46, 57.5%) than those aged less than 10 years (34, </w:t>
      </w:r>
      <w:r w:rsidRPr="006215A1">
        <w:rPr>
          <w:rFonts w:ascii="Times New Roman" w:eastAsia="Calibri" w:hAnsi="Times New Roman" w:cs="Times New Roman"/>
          <w:color w:val="000000"/>
          <w:sz w:val="24"/>
          <w:szCs w:val="24"/>
        </w:rPr>
        <w:lastRenderedPageBreak/>
        <w:t xml:space="preserve">42.5%). There was no significant difference, between children aged less than 10 and those 10 years or older, in the proportions of anterior and posterior teeth involved (&lt;10 years: 3 anterior, 31 posterior versus ≥10 years: 6 anterior, 41 posterior, p=0.726) (Table 4). The commonest involved posterior teeth were the first permanent molars, followed by the second deciduous molars (Table 5). </w:t>
      </w:r>
    </w:p>
    <w:p w:rsidR="00616A85" w:rsidRPr="006215A1"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Of the 12 non-</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cases 3 presented with </w:t>
      </w:r>
      <w:proofErr w:type="spellStart"/>
      <w:r w:rsidRPr="006215A1">
        <w:rPr>
          <w:rFonts w:ascii="Times New Roman" w:eastAsia="Calibri" w:hAnsi="Times New Roman" w:cs="Times New Roman"/>
          <w:color w:val="000000"/>
          <w:sz w:val="24"/>
          <w:szCs w:val="24"/>
        </w:rPr>
        <w:t>submental</w:t>
      </w:r>
      <w:proofErr w:type="spellEnd"/>
      <w:r w:rsidRPr="006215A1">
        <w:rPr>
          <w:rFonts w:ascii="Times New Roman" w:eastAsia="Calibri" w:hAnsi="Times New Roman" w:cs="Times New Roman"/>
          <w:color w:val="000000"/>
          <w:sz w:val="24"/>
          <w:szCs w:val="24"/>
        </w:rPr>
        <w:t xml:space="preserve"> space infection and 9 with unilateral submandibular space infection. </w:t>
      </w:r>
      <w:proofErr w:type="spellStart"/>
      <w:r w:rsidRPr="006215A1">
        <w:rPr>
          <w:rFonts w:ascii="Times New Roman" w:eastAsia="Calibri" w:hAnsi="Times New Roman" w:cs="Times New Roman"/>
          <w:bCs/>
          <w:color w:val="000000"/>
          <w:sz w:val="24"/>
          <w:szCs w:val="24"/>
        </w:rPr>
        <w:t>Sialadenitis</w:t>
      </w:r>
      <w:proofErr w:type="spellEnd"/>
      <w:r w:rsidRPr="006215A1">
        <w:rPr>
          <w:rFonts w:ascii="Times New Roman" w:eastAsia="Calibri" w:hAnsi="Times New Roman" w:cs="Times New Roman"/>
          <w:bCs/>
          <w:color w:val="000000"/>
          <w:sz w:val="24"/>
          <w:szCs w:val="24"/>
        </w:rPr>
        <w:t xml:space="preserve"> of minor salivary glands was the commonest origin of infection in non-</w:t>
      </w:r>
      <w:proofErr w:type="spellStart"/>
      <w:r w:rsidRPr="006215A1">
        <w:rPr>
          <w:rFonts w:ascii="Times New Roman" w:eastAsia="Calibri" w:hAnsi="Times New Roman" w:cs="Times New Roman"/>
          <w:bCs/>
          <w:color w:val="000000"/>
          <w:sz w:val="24"/>
          <w:szCs w:val="24"/>
        </w:rPr>
        <w:t>odontogenic</w:t>
      </w:r>
      <w:proofErr w:type="spellEnd"/>
      <w:r w:rsidRPr="006215A1">
        <w:rPr>
          <w:rFonts w:ascii="Times New Roman" w:eastAsia="Calibri" w:hAnsi="Times New Roman" w:cs="Times New Roman"/>
          <w:bCs/>
          <w:color w:val="000000"/>
          <w:sz w:val="24"/>
          <w:szCs w:val="24"/>
        </w:rPr>
        <w:t xml:space="preserve"> </w:t>
      </w:r>
      <w:proofErr w:type="spellStart"/>
      <w:r w:rsidRPr="006215A1">
        <w:rPr>
          <w:rFonts w:ascii="Times New Roman" w:eastAsia="Calibri" w:hAnsi="Times New Roman" w:cs="Times New Roman"/>
          <w:bCs/>
          <w:color w:val="000000"/>
          <w:sz w:val="24"/>
          <w:szCs w:val="24"/>
        </w:rPr>
        <w:t>fascial</w:t>
      </w:r>
      <w:proofErr w:type="spellEnd"/>
      <w:r w:rsidRPr="006215A1">
        <w:rPr>
          <w:rFonts w:ascii="Times New Roman" w:eastAsia="Calibri" w:hAnsi="Times New Roman" w:cs="Times New Roman"/>
          <w:bCs/>
          <w:color w:val="000000"/>
          <w:sz w:val="24"/>
          <w:szCs w:val="24"/>
        </w:rPr>
        <w:t xml:space="preserve"> space infection, 5 out of 12 (47.7%); Table 6 lists the origins of infection in non-</w:t>
      </w:r>
      <w:proofErr w:type="spellStart"/>
      <w:r w:rsidRPr="006215A1">
        <w:rPr>
          <w:rFonts w:ascii="Times New Roman" w:eastAsia="Calibri" w:hAnsi="Times New Roman" w:cs="Times New Roman"/>
          <w:bCs/>
          <w:color w:val="000000"/>
          <w:sz w:val="24"/>
          <w:szCs w:val="24"/>
        </w:rPr>
        <w:t>odontotenic</w:t>
      </w:r>
      <w:proofErr w:type="spellEnd"/>
      <w:r w:rsidRPr="006215A1">
        <w:rPr>
          <w:rFonts w:ascii="Times New Roman" w:eastAsia="Calibri" w:hAnsi="Times New Roman" w:cs="Times New Roman"/>
          <w:bCs/>
          <w:color w:val="000000"/>
          <w:sz w:val="24"/>
          <w:szCs w:val="24"/>
        </w:rPr>
        <w:t xml:space="preserve"> cases.</w:t>
      </w:r>
      <w:r w:rsidRPr="006215A1">
        <w:rPr>
          <w:rFonts w:ascii="Times New Roman" w:eastAsia="Calibri" w:hAnsi="Times New Roman" w:cs="Times New Roman"/>
          <w:color w:val="000000"/>
          <w:sz w:val="24"/>
          <w:szCs w:val="24"/>
        </w:rPr>
        <w:t xml:space="preserve"> </w:t>
      </w:r>
    </w:p>
    <w:p w:rsidR="00616A85" w:rsidRDefault="00616A85" w:rsidP="00616A85">
      <w:pPr>
        <w:spacing w:after="0" w:line="480" w:lineRule="auto"/>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The areas of residence of the patients showed that Banjul and </w:t>
      </w:r>
      <w:proofErr w:type="spellStart"/>
      <w:r w:rsidRPr="006215A1">
        <w:rPr>
          <w:rFonts w:ascii="Times New Roman" w:eastAsia="Calibri" w:hAnsi="Times New Roman" w:cs="Times New Roman"/>
          <w:color w:val="000000"/>
          <w:sz w:val="24"/>
          <w:szCs w:val="24"/>
        </w:rPr>
        <w:t>Mariama</w:t>
      </w:r>
      <w:proofErr w:type="spellEnd"/>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Kunda</w:t>
      </w:r>
      <w:proofErr w:type="spellEnd"/>
      <w:r w:rsidRPr="006215A1">
        <w:rPr>
          <w:rFonts w:ascii="Times New Roman" w:eastAsia="Calibri" w:hAnsi="Times New Roman" w:cs="Times New Roman"/>
          <w:color w:val="000000"/>
          <w:sz w:val="24"/>
          <w:szCs w:val="24"/>
        </w:rPr>
        <w:t xml:space="preserve"> had the highest numbers followed by </w:t>
      </w:r>
      <w:proofErr w:type="spellStart"/>
      <w:r w:rsidRPr="006215A1">
        <w:rPr>
          <w:rFonts w:ascii="Times New Roman" w:eastAsia="Calibri" w:hAnsi="Times New Roman" w:cs="Times New Roman"/>
          <w:color w:val="000000"/>
          <w:sz w:val="24"/>
          <w:szCs w:val="24"/>
        </w:rPr>
        <w:t>Brikama</w:t>
      </w:r>
      <w:proofErr w:type="spellEnd"/>
      <w:r w:rsidRPr="006215A1">
        <w:rPr>
          <w:rFonts w:ascii="Times New Roman" w:eastAsia="Calibri" w:hAnsi="Times New Roman" w:cs="Times New Roman"/>
          <w:color w:val="000000"/>
          <w:sz w:val="24"/>
          <w:szCs w:val="24"/>
        </w:rPr>
        <w:t xml:space="preserve"> and </w:t>
      </w:r>
      <w:proofErr w:type="spellStart"/>
      <w:r w:rsidRPr="006215A1">
        <w:rPr>
          <w:rFonts w:ascii="Times New Roman" w:eastAsia="Calibri" w:hAnsi="Times New Roman" w:cs="Times New Roman"/>
          <w:color w:val="000000"/>
          <w:sz w:val="24"/>
          <w:szCs w:val="24"/>
        </w:rPr>
        <w:t>Tabokodo</w:t>
      </w:r>
      <w:proofErr w:type="spellEnd"/>
      <w:r w:rsidRPr="006215A1">
        <w:rPr>
          <w:rFonts w:ascii="Times New Roman" w:eastAsia="Calibri" w:hAnsi="Times New Roman" w:cs="Times New Roman"/>
          <w:color w:val="000000"/>
          <w:sz w:val="24"/>
          <w:szCs w:val="24"/>
        </w:rPr>
        <w:t xml:space="preserve">. The distribution of the patients according to their place of residence is shown in </w:t>
      </w:r>
      <w:r>
        <w:rPr>
          <w:rFonts w:ascii="Times New Roman" w:eastAsia="Calibri" w:hAnsi="Times New Roman" w:cs="Times New Roman"/>
          <w:color w:val="000000"/>
          <w:sz w:val="24"/>
          <w:szCs w:val="24"/>
        </w:rPr>
        <w:t>T</w:t>
      </w:r>
      <w:r w:rsidRPr="006215A1">
        <w:rPr>
          <w:rFonts w:ascii="Times New Roman" w:eastAsia="Calibri" w:hAnsi="Times New Roman" w:cs="Times New Roman"/>
          <w:color w:val="000000"/>
          <w:sz w:val="24"/>
          <w:szCs w:val="24"/>
        </w:rPr>
        <w:t xml:space="preserve">able 3.  </w:t>
      </w:r>
    </w:p>
    <w:p w:rsidR="00616A85" w:rsidRPr="007F6EF7"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All the patients were noted to be visiting a dental clinic for the first time at presentation</w:t>
      </w:r>
      <w:r>
        <w:rPr>
          <w:rFonts w:ascii="Times New Roman" w:eastAsia="Calibri" w:hAnsi="Times New Roman" w:cs="Times New Roman"/>
          <w:b/>
          <w:color w:val="000000"/>
          <w:sz w:val="24"/>
          <w:szCs w:val="24"/>
        </w:rPr>
        <w:t xml:space="preserve"> </w:t>
      </w:r>
      <w:r w:rsidRPr="007F6EF7">
        <w:rPr>
          <w:rFonts w:ascii="Times New Roman" w:eastAsia="Calibri" w:hAnsi="Times New Roman" w:cs="Times New Roman"/>
          <w:color w:val="000000"/>
          <w:sz w:val="24"/>
          <w:szCs w:val="24"/>
        </w:rPr>
        <w:t xml:space="preserve">and were </w:t>
      </w:r>
      <w:proofErr w:type="gramStart"/>
      <w:r w:rsidRPr="007F6EF7">
        <w:rPr>
          <w:rFonts w:ascii="Times New Roman" w:eastAsia="Calibri" w:hAnsi="Times New Roman" w:cs="Times New Roman"/>
          <w:color w:val="000000"/>
          <w:sz w:val="24"/>
          <w:szCs w:val="24"/>
        </w:rPr>
        <w:t xml:space="preserve">all </w:t>
      </w:r>
      <w:r w:rsidRPr="006215A1">
        <w:rPr>
          <w:rFonts w:ascii="Times New Roman" w:eastAsia="Calibri" w:hAnsi="Times New Roman" w:cs="Times New Roman"/>
          <w:color w:val="000000"/>
          <w:sz w:val="24"/>
          <w:szCs w:val="24"/>
        </w:rPr>
        <w:t xml:space="preserve"> admitted</w:t>
      </w:r>
      <w:proofErr w:type="gramEnd"/>
      <w:r w:rsidRPr="006215A1">
        <w:rPr>
          <w:rFonts w:ascii="Times New Roman" w:eastAsia="Calibri" w:hAnsi="Times New Roman" w:cs="Times New Roman"/>
          <w:color w:val="000000"/>
          <w:sz w:val="24"/>
          <w:szCs w:val="24"/>
        </w:rPr>
        <w:t xml:space="preserve"> into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ward.</w:t>
      </w:r>
      <w:r w:rsidRPr="006215A1">
        <w:rPr>
          <w:rFonts w:ascii="Times New Roman" w:eastAsia="Calibri" w:hAnsi="Times New Roman" w:cs="Times New Roman"/>
          <w:color w:val="000000"/>
          <w:sz w:val="24"/>
          <w:szCs w:val="24"/>
          <w:lang w:val="en-GB"/>
        </w:rPr>
        <w:t xml:space="preserve"> Investigations carried out included </w:t>
      </w:r>
      <w:proofErr w:type="spellStart"/>
      <w:r w:rsidRPr="006215A1">
        <w:rPr>
          <w:rFonts w:ascii="Times New Roman" w:eastAsia="Calibri" w:hAnsi="Times New Roman" w:cs="Times New Roman"/>
          <w:color w:val="000000"/>
          <w:sz w:val="24"/>
          <w:szCs w:val="24"/>
          <w:lang w:val="en-GB"/>
        </w:rPr>
        <w:t>peri</w:t>
      </w:r>
      <w:proofErr w:type="spellEnd"/>
      <w:r w:rsidRPr="006215A1">
        <w:rPr>
          <w:rFonts w:ascii="Times New Roman" w:eastAsia="Calibri" w:hAnsi="Times New Roman" w:cs="Times New Roman"/>
          <w:color w:val="000000"/>
          <w:sz w:val="24"/>
          <w:szCs w:val="24"/>
          <w:lang w:val="en-GB"/>
        </w:rPr>
        <w:t>-apical/extra-oral radiographs, full blood count,</w:t>
      </w:r>
      <w:r w:rsidRPr="006215A1">
        <w:rPr>
          <w:rFonts w:ascii="Times New Roman" w:eastAsia="Calibri" w:hAnsi="Times New Roman" w:cs="Times New Roman"/>
          <w:b/>
          <w:color w:val="000000"/>
          <w:sz w:val="24"/>
          <w:szCs w:val="24"/>
          <w:lang w:val="en-GB"/>
        </w:rPr>
        <w:t xml:space="preserve"> h</w:t>
      </w:r>
      <w:r w:rsidRPr="006215A1">
        <w:rPr>
          <w:rFonts w:ascii="Times New Roman" w:eastAsia="Calibri" w:hAnsi="Times New Roman" w:cs="Times New Roman"/>
          <w:color w:val="000000"/>
          <w:sz w:val="24"/>
          <w:szCs w:val="24"/>
          <w:lang w:val="en-GB"/>
        </w:rPr>
        <w:t xml:space="preserve">aemoglobin genotype and serum urea, electrolytes and creatinine.  Microscopy, culture and sensitivity of pus was also done where necessary.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rPr>
        <w:t xml:space="preserve">Eighty-one patients with obvious pus collection had incision and decompression of </w:t>
      </w:r>
      <w:proofErr w:type="gramStart"/>
      <w:r w:rsidRPr="006215A1">
        <w:rPr>
          <w:rFonts w:ascii="Times New Roman" w:eastAsia="Calibri" w:hAnsi="Times New Roman" w:cs="Times New Roman"/>
          <w:color w:val="000000"/>
          <w:sz w:val="24"/>
          <w:szCs w:val="24"/>
        </w:rPr>
        <w:t>the  affected</w:t>
      </w:r>
      <w:proofErr w:type="gramEnd"/>
      <w:r w:rsidRPr="006215A1">
        <w:rPr>
          <w:rFonts w:ascii="Times New Roman" w:eastAsia="Calibri" w:hAnsi="Times New Roman" w:cs="Times New Roman"/>
          <w:color w:val="000000"/>
          <w:sz w:val="24"/>
          <w:szCs w:val="24"/>
        </w:rPr>
        <w:t xml:space="preserve"> spaces under local </w:t>
      </w:r>
      <w:proofErr w:type="spellStart"/>
      <w:r w:rsidRPr="006215A1">
        <w:rPr>
          <w:rFonts w:ascii="Times New Roman" w:eastAsia="Calibri" w:hAnsi="Times New Roman" w:cs="Times New Roman"/>
          <w:color w:val="000000"/>
          <w:sz w:val="24"/>
          <w:szCs w:val="24"/>
        </w:rPr>
        <w:t>anaesthesia</w:t>
      </w:r>
      <w:proofErr w:type="spellEnd"/>
      <w:r w:rsidRPr="006215A1">
        <w:rPr>
          <w:rFonts w:ascii="Times New Roman" w:eastAsia="Calibri" w:hAnsi="Times New Roman" w:cs="Times New Roman"/>
          <w:color w:val="000000"/>
          <w:sz w:val="24"/>
          <w:szCs w:val="24"/>
        </w:rPr>
        <w:t xml:space="preserve">. Extraction of culprit tooth was carried out in all these same patients as soon as the degree of mouth opening permitted. </w:t>
      </w:r>
      <w:r w:rsidRPr="006215A1">
        <w:rPr>
          <w:rFonts w:ascii="Times New Roman" w:eastAsia="Calibri" w:hAnsi="Times New Roman" w:cs="Times New Roman"/>
          <w:color w:val="000000"/>
          <w:sz w:val="24"/>
          <w:szCs w:val="24"/>
          <w:lang w:val="en-GB"/>
        </w:rPr>
        <w:t>Most of the cultures of the pus yielded no growth. The positive cultures yielded staphylococcal and streptococcal organisms in 2 and 5 cases respectively while both staphylococcal and streptococcal organisms were cultured in one case. The antibiotic sensitivities encompassed the drugs which were already being administered.</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lang w:val="en-GB"/>
        </w:rPr>
        <w:t xml:space="preserve">The drug treatment instituted in all cases was a combination of 3 antibiotics (Amoxicillin, metronidazole and gentamicin). Amoxicillin and metronidazole were given by intravenous route at a dose of 150mg/kg/day and 7.5mg/kg/day respectively in 3 divided doses at 8-hourly </w:t>
      </w:r>
      <w:r w:rsidRPr="006215A1">
        <w:rPr>
          <w:rFonts w:ascii="Times New Roman" w:eastAsia="Calibri" w:hAnsi="Times New Roman" w:cs="Times New Roman"/>
          <w:color w:val="000000"/>
          <w:sz w:val="24"/>
          <w:szCs w:val="24"/>
          <w:lang w:val="en-GB"/>
        </w:rPr>
        <w:lastRenderedPageBreak/>
        <w:t xml:space="preserve">intervals; gentamycin was given intravenously at a dose of 5mg/kg/day in 2 divided doses at 12hourly intervals for children 10 years or older and 5mg/kg once daily for infants or children less than 10 years. The duration of antibiotic treatment was guided by patients’ response; however an average of a 5-day course was given. Patients with history of penicillin allergy were given oral erythromycin at a dose of 10mg per kilogram body weight per dose every 6 hours for an average of 5 days. </w:t>
      </w:r>
      <w:r w:rsidRPr="006215A1">
        <w:rPr>
          <w:rFonts w:ascii="Times New Roman" w:eastAsia="Calibri" w:hAnsi="Times New Roman" w:cs="Times New Roman"/>
          <w:color w:val="000000"/>
          <w:sz w:val="24"/>
          <w:szCs w:val="24"/>
        </w:rPr>
        <w:t xml:space="preserve">Patients were also given appropriate dosage of non-opioid analgesic, usually </w:t>
      </w:r>
      <w:proofErr w:type="spellStart"/>
      <w:r w:rsidRPr="006215A1">
        <w:rPr>
          <w:rFonts w:ascii="Times New Roman" w:eastAsia="Calibri" w:hAnsi="Times New Roman" w:cs="Times New Roman"/>
          <w:color w:val="000000"/>
          <w:sz w:val="24"/>
          <w:szCs w:val="24"/>
        </w:rPr>
        <w:t>paracetamol</w:t>
      </w:r>
      <w:proofErr w:type="spellEnd"/>
      <w:r w:rsidRPr="006215A1">
        <w:rPr>
          <w:rFonts w:ascii="Times New Roman" w:eastAsia="Calibri" w:hAnsi="Times New Roman" w:cs="Times New Roman"/>
          <w:color w:val="000000"/>
          <w:sz w:val="24"/>
          <w:szCs w:val="24"/>
        </w:rPr>
        <w:t>, and intravenous fluid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saline-0.43%) until resolution of the acute phase of the infection when alimentation improved.</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All the patients without obvious pus collection who did not have incision and decompression were also managed as inpatients, and were on admission for between 3 to 8 days with a mean of 4.1(SD1.2) days. This was significantly shorter than the mean of 8.0(SD3.2) days for patients with pus collection who had incision and decompression (&lt;0.0001). </w:t>
      </w:r>
    </w:p>
    <w:p w:rsidR="00616A85" w:rsidRPr="006215A1" w:rsidRDefault="00616A85" w:rsidP="00616A85">
      <w:pPr>
        <w:spacing w:after="0" w:line="480" w:lineRule="auto"/>
        <w:ind w:right="-194"/>
        <w:jc w:val="both"/>
        <w:rPr>
          <w:rFonts w:ascii="Times New Roman" w:eastAsia="Calibri" w:hAnsi="Times New Roman" w:cs="Times New Roman"/>
          <w:strike/>
          <w:color w:val="000000"/>
          <w:sz w:val="24"/>
          <w:szCs w:val="24"/>
        </w:rPr>
      </w:pPr>
      <w:r w:rsidRPr="006215A1">
        <w:rPr>
          <w:rFonts w:ascii="Times New Roman" w:eastAsia="Calibri" w:hAnsi="Times New Roman" w:cs="Times New Roman"/>
          <w:color w:val="000000"/>
          <w:sz w:val="24"/>
          <w:szCs w:val="24"/>
        </w:rPr>
        <w:t xml:space="preserve">Five patients died, giving a mortality rate of 5.4%. These included 2 males and 3 females and their ages ranged between 6 months and 4.5 years with a mean of 3.0 (SD0.3) years. The mean age of the mortalities was significantly lower than that for those who survived, 8.3(SD1.4) years, (p&lt;0.0001). The patients that died had 2 or more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spaces involved. The mean duration of admission before death was 2.1(SD0.8) days. The cause of death was over-whelming sepsis in all the cases.</w:t>
      </w:r>
    </w:p>
    <w:p w:rsidR="00616A85" w:rsidRDefault="00616A85" w:rsidP="00616A85">
      <w:pPr>
        <w:spacing w:after="0" w:line="480" w:lineRule="auto"/>
        <w:ind w:right="-194"/>
        <w:jc w:val="both"/>
        <w:rPr>
          <w:rFonts w:ascii="Times New Roman" w:eastAsia="Calibri" w:hAnsi="Times New Roman" w:cs="Times New Roman"/>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Discussion</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Complications of simple dental infection are more often found in patients with poor dental health or patients with impaired immunity.</w:t>
      </w:r>
      <w:r w:rsidRPr="006215A1">
        <w:rPr>
          <w:rFonts w:ascii="Times New Roman" w:eastAsia="Calibri" w:hAnsi="Times New Roman" w:cs="Times New Roman"/>
          <w:color w:val="000000"/>
          <w:sz w:val="24"/>
          <w:szCs w:val="24"/>
          <w:vertAlign w:val="superscript"/>
        </w:rPr>
        <w:t>3</w:t>
      </w:r>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when of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origin are often thought to result from neglected treatment of dental caries.</w:t>
      </w:r>
      <w:r w:rsidRPr="006215A1">
        <w:rPr>
          <w:rFonts w:ascii="Times New Roman" w:eastAsia="Calibri" w:hAnsi="Times New Roman" w:cs="Times New Roman"/>
          <w:color w:val="000000"/>
          <w:sz w:val="24"/>
          <w:szCs w:val="24"/>
          <w:vertAlign w:val="superscript"/>
        </w:rPr>
        <w:t>3,5</w:t>
      </w:r>
      <w:r w:rsidRPr="006215A1">
        <w:rPr>
          <w:rFonts w:ascii="Times New Roman" w:eastAsia="Calibri" w:hAnsi="Times New Roman" w:cs="Times New Roman"/>
          <w:color w:val="000000"/>
          <w:sz w:val="24"/>
          <w:szCs w:val="24"/>
        </w:rPr>
        <w:t xml:space="preserve"> The oral cavity serves as the host for over 500 species of bacteria which are normally innocuous to the oral environment.</w:t>
      </w:r>
      <w:r w:rsidRPr="006215A1">
        <w:rPr>
          <w:rFonts w:ascii="Times New Roman" w:eastAsia="Calibri" w:hAnsi="Times New Roman" w:cs="Times New Roman"/>
          <w:color w:val="000000"/>
          <w:sz w:val="24"/>
          <w:szCs w:val="24"/>
          <w:vertAlign w:val="superscript"/>
        </w:rPr>
        <w:t>12</w:t>
      </w:r>
      <w:r w:rsidRPr="006215A1">
        <w:rPr>
          <w:rFonts w:ascii="Times New Roman" w:eastAsia="Calibri" w:hAnsi="Times New Roman" w:cs="Times New Roman"/>
          <w:color w:val="000000"/>
          <w:sz w:val="24"/>
          <w:szCs w:val="24"/>
        </w:rPr>
        <w:t xml:space="preserve"> These microorganisms are noted to play a role in the pathogenesis of dental caries, periodontal </w:t>
      </w:r>
      <w:r w:rsidRPr="006215A1">
        <w:rPr>
          <w:rFonts w:ascii="Times New Roman" w:eastAsia="Calibri" w:hAnsi="Times New Roman" w:cs="Times New Roman"/>
          <w:color w:val="000000"/>
          <w:sz w:val="24"/>
          <w:szCs w:val="24"/>
        </w:rPr>
        <w:lastRenderedPageBreak/>
        <w:t>infections and osteomyelitis.</w:t>
      </w:r>
      <w:r w:rsidRPr="006215A1">
        <w:rPr>
          <w:rFonts w:ascii="Times New Roman" w:eastAsia="Calibri" w:hAnsi="Times New Roman" w:cs="Times New Roman"/>
          <w:color w:val="000000"/>
          <w:sz w:val="24"/>
          <w:szCs w:val="24"/>
          <w:vertAlign w:val="superscript"/>
        </w:rPr>
        <w:t>13</w:t>
      </w:r>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are </w:t>
      </w:r>
      <w:proofErr w:type="spellStart"/>
      <w:r w:rsidRPr="006215A1">
        <w:rPr>
          <w:rFonts w:ascii="Times New Roman" w:eastAsia="Calibri" w:hAnsi="Times New Roman" w:cs="Times New Roman"/>
          <w:color w:val="000000"/>
          <w:sz w:val="24"/>
          <w:szCs w:val="24"/>
        </w:rPr>
        <w:t>polymicrobial</w:t>
      </w:r>
      <w:proofErr w:type="spellEnd"/>
      <w:r w:rsidRPr="006215A1">
        <w:rPr>
          <w:rFonts w:ascii="Times New Roman" w:eastAsia="Calibri" w:hAnsi="Times New Roman" w:cs="Times New Roman"/>
          <w:color w:val="000000"/>
          <w:sz w:val="24"/>
          <w:szCs w:val="24"/>
        </w:rPr>
        <w:t xml:space="preserve"> in nature with the involvement of both anaerobic and mixed aerobic bacteria.</w:t>
      </w:r>
      <w:r w:rsidRPr="006215A1">
        <w:rPr>
          <w:rFonts w:ascii="Times New Roman" w:eastAsia="Calibri" w:hAnsi="Times New Roman" w:cs="Times New Roman"/>
          <w:color w:val="000000"/>
          <w:sz w:val="24"/>
          <w:szCs w:val="24"/>
          <w:vertAlign w:val="superscript"/>
        </w:rPr>
        <w:t>6</w:t>
      </w:r>
      <w:r w:rsidRPr="006215A1">
        <w:rPr>
          <w:rFonts w:ascii="Times New Roman" w:eastAsia="Calibri" w:hAnsi="Times New Roman" w:cs="Times New Roman"/>
          <w:color w:val="000000"/>
          <w:sz w:val="24"/>
          <w:szCs w:val="24"/>
        </w:rPr>
        <w:t xml:space="preserve"> In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patients these infections are known to progress rapidly and may lead to overwhelming infection with airway compromise being the most dreaded complication.</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Management of children with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is essentially done by the different specialties in dentistry with need for </w:t>
      </w:r>
      <w:proofErr w:type="spellStart"/>
      <w:r w:rsidRPr="006215A1">
        <w:rPr>
          <w:rFonts w:ascii="Times New Roman" w:eastAsia="Calibri" w:hAnsi="Times New Roman" w:cs="Times New Roman"/>
          <w:color w:val="000000"/>
          <w:sz w:val="24"/>
          <w:szCs w:val="24"/>
        </w:rPr>
        <w:t>paediatrician</w:t>
      </w:r>
      <w:proofErr w:type="spellEnd"/>
      <w:r w:rsidRPr="006215A1">
        <w:rPr>
          <w:rFonts w:ascii="Times New Roman" w:eastAsia="Calibri" w:hAnsi="Times New Roman" w:cs="Times New Roman"/>
          <w:color w:val="000000"/>
          <w:sz w:val="24"/>
          <w:szCs w:val="24"/>
        </w:rPr>
        <w:t xml:space="preserve"> consultations at different times in the management when the need arises.</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The constitutional symptoms that accompany these infections may lead to </w:t>
      </w:r>
      <w:proofErr w:type="spellStart"/>
      <w:r w:rsidRPr="006215A1">
        <w:rPr>
          <w:rFonts w:ascii="Times New Roman" w:eastAsia="Calibri" w:hAnsi="Times New Roman" w:cs="Times New Roman"/>
          <w:color w:val="000000"/>
          <w:sz w:val="24"/>
          <w:szCs w:val="24"/>
        </w:rPr>
        <w:t>mis</w:t>
      </w:r>
      <w:proofErr w:type="spellEnd"/>
      <w:r w:rsidRPr="006215A1">
        <w:rPr>
          <w:rFonts w:ascii="Times New Roman" w:eastAsia="Calibri" w:hAnsi="Times New Roman" w:cs="Times New Roman"/>
          <w:color w:val="000000"/>
          <w:sz w:val="24"/>
          <w:szCs w:val="24"/>
        </w:rPr>
        <w:t>-diagnosis or missed diagnosis. Prompt diagnosis is important especially in the very young where the child may not be able to adequately communicate their symptoms; failure to make accurate diagnosis may lead to mismanagement of these children. It is essential that prompt diagnosis is made and treatment instituted almost immediately to prevent or limit the degree of morbidity associated with these infections.</w:t>
      </w:r>
    </w:p>
    <w:p w:rsidR="00616A85" w:rsidRPr="006215A1" w:rsidRDefault="00616A85" w:rsidP="00616A85">
      <w:pPr>
        <w:spacing w:after="0" w:line="480" w:lineRule="auto"/>
        <w:jc w:val="both"/>
        <w:rPr>
          <w:rFonts w:ascii="Times New Roman" w:eastAsia="Times New Roman" w:hAnsi="Times New Roman" w:cs="Times New Roman"/>
          <w:color w:val="000000"/>
          <w:sz w:val="24"/>
          <w:szCs w:val="24"/>
          <w:lang w:val="en-GB" w:eastAsia="en-GB"/>
        </w:rPr>
      </w:pPr>
      <w:r w:rsidRPr="006215A1">
        <w:rPr>
          <w:rFonts w:ascii="Times New Roman" w:eastAsia="Calibri" w:hAnsi="Times New Roman" w:cs="Times New Roman"/>
          <w:color w:val="000000"/>
          <w:sz w:val="24"/>
          <w:szCs w:val="24"/>
        </w:rPr>
        <w:t xml:space="preserve">Although painful facial swelling and fever were the symptoms common to all in our cohort, other clinical features which could have been found in these patients include carious or </w:t>
      </w:r>
      <w:proofErr w:type="spellStart"/>
      <w:r w:rsidRPr="006215A1">
        <w:rPr>
          <w:rFonts w:ascii="Times New Roman" w:eastAsia="Calibri" w:hAnsi="Times New Roman" w:cs="Times New Roman"/>
          <w:color w:val="000000"/>
          <w:sz w:val="24"/>
          <w:szCs w:val="24"/>
        </w:rPr>
        <w:t>periodontally</w:t>
      </w:r>
      <w:proofErr w:type="spellEnd"/>
      <w:r w:rsidRPr="006215A1">
        <w:rPr>
          <w:rFonts w:ascii="Times New Roman" w:eastAsia="Calibri" w:hAnsi="Times New Roman" w:cs="Times New Roman"/>
          <w:color w:val="000000"/>
          <w:sz w:val="24"/>
          <w:szCs w:val="24"/>
        </w:rPr>
        <w:t xml:space="preserve"> involved teeth, pointing abscesses on the skin, limitation of mouth opening, lethargy and loss of appetite. </w:t>
      </w:r>
      <w:proofErr w:type="spellStart"/>
      <w:r w:rsidRPr="006215A1">
        <w:rPr>
          <w:rFonts w:ascii="Times New Roman" w:eastAsia="Calibri" w:hAnsi="Times New Roman" w:cs="Times New Roman"/>
          <w:color w:val="000000"/>
          <w:sz w:val="24"/>
          <w:szCs w:val="24"/>
        </w:rPr>
        <w:t>Aqunila</w:t>
      </w:r>
      <w:proofErr w:type="spellEnd"/>
      <w:r w:rsidRPr="006215A1">
        <w:rPr>
          <w:rFonts w:ascii="Times New Roman" w:eastAsia="Calibri" w:hAnsi="Times New Roman" w:cs="Times New Roman"/>
          <w:color w:val="000000"/>
          <w:sz w:val="24"/>
          <w:szCs w:val="24"/>
        </w:rPr>
        <w:t xml:space="preserve"> and Lynham</w:t>
      </w:r>
      <w:r w:rsidRPr="006215A1">
        <w:rPr>
          <w:rFonts w:ascii="Times New Roman" w:eastAsia="Calibri" w:hAnsi="Times New Roman" w:cs="Times New Roman"/>
          <w:color w:val="000000"/>
          <w:sz w:val="24"/>
          <w:szCs w:val="24"/>
          <w:vertAlign w:val="superscript"/>
        </w:rPr>
        <w:t>14</w:t>
      </w:r>
      <w:r w:rsidRPr="006215A1">
        <w:rPr>
          <w:rFonts w:ascii="Times New Roman" w:eastAsia="Calibri" w:hAnsi="Times New Roman" w:cs="Times New Roman"/>
          <w:color w:val="000000"/>
          <w:sz w:val="24"/>
          <w:szCs w:val="24"/>
        </w:rPr>
        <w:t xml:space="preserve"> corroborated these symptoms in their study but noted that </w:t>
      </w:r>
      <w:r w:rsidRPr="006215A1">
        <w:rPr>
          <w:rFonts w:ascii="Times New Roman" w:eastAsia="Calibri" w:hAnsi="Times New Roman" w:cs="Times New Roman"/>
          <w:color w:val="000000"/>
          <w:sz w:val="24"/>
          <w:szCs w:val="24"/>
          <w:lang w:val="en-GB"/>
        </w:rPr>
        <w:t xml:space="preserve">dysphagia, difficulty with or pain on moving the tongue, stridor, </w:t>
      </w:r>
      <w:proofErr w:type="spellStart"/>
      <w:r w:rsidRPr="006215A1">
        <w:rPr>
          <w:rFonts w:ascii="Times New Roman" w:eastAsia="Calibri" w:hAnsi="Times New Roman" w:cs="Times New Roman"/>
          <w:color w:val="000000"/>
          <w:sz w:val="24"/>
          <w:szCs w:val="24"/>
          <w:lang w:val="en-GB"/>
        </w:rPr>
        <w:t>trismus</w:t>
      </w:r>
      <w:proofErr w:type="spellEnd"/>
      <w:r w:rsidRPr="006215A1">
        <w:rPr>
          <w:rFonts w:ascii="Times New Roman" w:eastAsia="Calibri" w:hAnsi="Times New Roman" w:cs="Times New Roman"/>
          <w:color w:val="000000"/>
          <w:sz w:val="24"/>
          <w:szCs w:val="24"/>
          <w:lang w:val="en-GB"/>
        </w:rPr>
        <w:t>, elevation of the tongue, and fever represent danger signs in these patients and should indicate urgent need for hospital referral.</w:t>
      </w:r>
      <w:r w:rsidRPr="006215A1">
        <w:rPr>
          <w:rFonts w:ascii="Times New Roman" w:eastAsia="Calibri" w:hAnsi="Times New Roman" w:cs="Times New Roman"/>
          <w:color w:val="000000"/>
          <w:sz w:val="24"/>
          <w:szCs w:val="24"/>
        </w:rPr>
        <w:t xml:space="preserve"> Involvement of multiple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spaces has been noted to correlate with increased degree of morbidity recorded in the management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w:t>
      </w:r>
      <w:proofErr w:type="spellStart"/>
      <w:r w:rsidRPr="006215A1">
        <w:rPr>
          <w:rFonts w:ascii="Times New Roman" w:eastAsia="Calibri" w:hAnsi="Times New Roman" w:cs="Times New Roman"/>
          <w:color w:val="000000"/>
          <w:sz w:val="24"/>
          <w:szCs w:val="24"/>
        </w:rPr>
        <w:t>Brotherton</w:t>
      </w:r>
      <w:proofErr w:type="spellEnd"/>
      <w:r w:rsidRPr="006215A1">
        <w:rPr>
          <w:rFonts w:ascii="Times New Roman" w:eastAsia="Calibri" w:hAnsi="Times New Roman" w:cs="Times New Roman"/>
          <w:color w:val="000000"/>
          <w:sz w:val="24"/>
          <w:szCs w:val="24"/>
        </w:rPr>
        <w:t xml:space="preserve"> et al</w:t>
      </w:r>
      <w:r w:rsidRPr="006215A1">
        <w:rPr>
          <w:rFonts w:ascii="Times New Roman" w:eastAsia="Calibri" w:hAnsi="Times New Roman" w:cs="Times New Roman"/>
          <w:color w:val="000000"/>
          <w:sz w:val="24"/>
          <w:szCs w:val="24"/>
          <w:vertAlign w:val="superscript"/>
        </w:rPr>
        <w:t>15</w:t>
      </w:r>
      <w:r w:rsidRPr="006215A1">
        <w:rPr>
          <w:rFonts w:ascii="Times New Roman" w:eastAsia="Calibri" w:hAnsi="Times New Roman" w:cs="Times New Roman"/>
          <w:color w:val="000000"/>
          <w:sz w:val="24"/>
          <w:szCs w:val="24"/>
        </w:rPr>
        <w:t xml:space="preserve"> noted that involvement of multiple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spaces as seen in Ludwig’s angina rapidly leads to airway compromise necessitating an artificial airway in the form of endotracheal intubation or emergency tracheostomy. The finding of submandibular space as the commonest involved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 </w:t>
      </w:r>
      <w:proofErr w:type="spellStart"/>
      <w:r w:rsidRPr="006215A1">
        <w:rPr>
          <w:rFonts w:ascii="Times New Roman" w:eastAsia="Calibri" w:hAnsi="Times New Roman" w:cs="Times New Roman"/>
          <w:color w:val="000000"/>
          <w:sz w:val="24"/>
          <w:szCs w:val="24"/>
        </w:rPr>
        <w:t>orofacial</w:t>
      </w:r>
      <w:proofErr w:type="spellEnd"/>
      <w:r w:rsidRPr="006215A1">
        <w:rPr>
          <w:rFonts w:ascii="Times New Roman" w:eastAsia="Calibri" w:hAnsi="Times New Roman" w:cs="Times New Roman"/>
          <w:color w:val="000000"/>
          <w:sz w:val="24"/>
          <w:szCs w:val="24"/>
        </w:rPr>
        <w:t xml:space="preserve"> infections in our study was similar </w:t>
      </w:r>
      <w:r w:rsidRPr="006215A1">
        <w:rPr>
          <w:rFonts w:ascii="Times New Roman" w:eastAsia="Calibri" w:hAnsi="Times New Roman" w:cs="Times New Roman"/>
          <w:color w:val="000000"/>
          <w:sz w:val="24"/>
          <w:szCs w:val="24"/>
        </w:rPr>
        <w:lastRenderedPageBreak/>
        <w:t xml:space="preserve">to that of </w:t>
      </w:r>
      <w:r w:rsidRPr="006215A1">
        <w:rPr>
          <w:rFonts w:ascii="Times New Roman" w:eastAsia="Times New Roman" w:hAnsi="Times New Roman" w:cs="Times New Roman"/>
          <w:color w:val="000000"/>
          <w:sz w:val="24"/>
          <w:szCs w:val="24"/>
          <w:lang w:val="en-GB" w:eastAsia="en-GB"/>
        </w:rPr>
        <w:t>a study from Nigeria which reported submandibular space involvement to be the most frequent, occurring in 43.9% of cases with single space involvement. That study however involved both children and adults</w:t>
      </w:r>
      <w:r w:rsidRPr="006215A1">
        <w:rPr>
          <w:rFonts w:ascii="Times New Roman" w:eastAsia="Times New Roman" w:hAnsi="Times New Roman" w:cs="Times New Roman"/>
          <w:color w:val="000000"/>
          <w:sz w:val="24"/>
          <w:szCs w:val="24"/>
          <w:vertAlign w:val="superscript"/>
          <w:lang w:val="en-GB" w:eastAsia="en-GB"/>
        </w:rPr>
        <w:t>16</w:t>
      </w:r>
      <w:r w:rsidRPr="006215A1">
        <w:rPr>
          <w:rFonts w:ascii="Times New Roman" w:eastAsia="Times New Roman" w:hAnsi="Times New Roman" w:cs="Times New Roman"/>
          <w:color w:val="000000"/>
          <w:sz w:val="24"/>
          <w:szCs w:val="24"/>
          <w:lang w:val="en-GB" w:eastAsia="en-GB"/>
        </w:rPr>
        <w:t>. In a study reported from India which involved children aged 3-14 years the submandibular space was the most frequently involved occurring in 56%. There was no involvement of multiple spaces observed in that study</w:t>
      </w:r>
      <w:r w:rsidRPr="006215A1">
        <w:rPr>
          <w:rFonts w:ascii="Times New Roman" w:eastAsia="Times New Roman" w:hAnsi="Times New Roman" w:cs="Times New Roman"/>
          <w:color w:val="000000"/>
          <w:sz w:val="24"/>
          <w:szCs w:val="24"/>
          <w:vertAlign w:val="superscript"/>
          <w:lang w:val="en-GB" w:eastAsia="en-GB"/>
        </w:rPr>
        <w:t>17</w:t>
      </w:r>
      <w:r w:rsidRPr="006215A1">
        <w:rPr>
          <w:rFonts w:ascii="Times New Roman" w:eastAsia="Times New Roman" w:hAnsi="Times New Roman" w:cs="Times New Roman"/>
          <w:color w:val="000000"/>
          <w:sz w:val="24"/>
          <w:szCs w:val="24"/>
          <w:lang w:val="en-GB" w:eastAsia="en-GB"/>
        </w:rPr>
        <w:t>.</w:t>
      </w:r>
    </w:p>
    <w:p w:rsidR="00616A85" w:rsidRPr="006215A1" w:rsidRDefault="00616A85" w:rsidP="00616A85">
      <w:pPr>
        <w:spacing w:after="0" w:line="480" w:lineRule="auto"/>
        <w:jc w:val="both"/>
        <w:rPr>
          <w:rFonts w:ascii="Times New Roman" w:eastAsia="Calibri" w:hAnsi="Times New Roman" w:cs="Times New Roman"/>
          <w:color w:val="000000"/>
          <w:sz w:val="24"/>
          <w:szCs w:val="24"/>
          <w:vertAlign w:val="superscript"/>
          <w:lang w:val="en-GB"/>
        </w:rPr>
      </w:pPr>
      <w:r w:rsidRPr="006215A1">
        <w:rPr>
          <w:rFonts w:ascii="Times New Roman" w:eastAsia="Calibri" w:hAnsi="Times New Roman" w:cs="Times New Roman"/>
          <w:color w:val="000000"/>
          <w:sz w:val="24"/>
          <w:szCs w:val="24"/>
        </w:rPr>
        <w:t xml:space="preserve">The pattern of antibiotic prescription in the present study is similar to what has been documented from other studies. </w:t>
      </w:r>
      <w:proofErr w:type="spellStart"/>
      <w:r w:rsidRPr="006215A1">
        <w:rPr>
          <w:rFonts w:ascii="Times New Roman" w:eastAsia="Calibri" w:hAnsi="Times New Roman" w:cs="Times New Roman"/>
          <w:color w:val="000000"/>
          <w:sz w:val="24"/>
          <w:szCs w:val="24"/>
        </w:rPr>
        <w:t>Brotherton</w:t>
      </w:r>
      <w:proofErr w:type="spellEnd"/>
      <w:r w:rsidRPr="006215A1">
        <w:rPr>
          <w:rFonts w:ascii="Times New Roman" w:eastAsia="Calibri" w:hAnsi="Times New Roman" w:cs="Times New Roman"/>
          <w:color w:val="000000"/>
          <w:sz w:val="24"/>
          <w:szCs w:val="24"/>
        </w:rPr>
        <w:t xml:space="preserve"> et al</w:t>
      </w:r>
      <w:r w:rsidRPr="006215A1">
        <w:rPr>
          <w:rFonts w:ascii="Times New Roman" w:eastAsia="Calibri" w:hAnsi="Times New Roman" w:cs="Times New Roman"/>
          <w:color w:val="000000"/>
          <w:sz w:val="24"/>
          <w:szCs w:val="24"/>
          <w:vertAlign w:val="superscript"/>
        </w:rPr>
        <w:t>15</w:t>
      </w:r>
      <w:r w:rsidRPr="006215A1">
        <w:rPr>
          <w:rFonts w:ascii="Times New Roman" w:eastAsia="Calibri" w:hAnsi="Times New Roman" w:cs="Times New Roman"/>
          <w:color w:val="000000"/>
          <w:sz w:val="24"/>
          <w:szCs w:val="24"/>
        </w:rPr>
        <w:t xml:space="preserve"> in a review of management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infections in 32 children below the age of 16 years noted that 62.5% (20/32) of the patients were treated with more than one antibiotic, with penicillin  or penicillin derivative and </w:t>
      </w:r>
      <w:proofErr w:type="spellStart"/>
      <w:r w:rsidRPr="006215A1">
        <w:rPr>
          <w:rFonts w:ascii="Times New Roman" w:eastAsia="Calibri" w:hAnsi="Times New Roman" w:cs="Times New Roman"/>
          <w:color w:val="000000"/>
          <w:sz w:val="24"/>
          <w:szCs w:val="24"/>
        </w:rPr>
        <w:t>anerobic</w:t>
      </w:r>
      <w:proofErr w:type="spellEnd"/>
      <w:r w:rsidRPr="006215A1">
        <w:rPr>
          <w:rFonts w:ascii="Times New Roman" w:eastAsia="Calibri" w:hAnsi="Times New Roman" w:cs="Times New Roman"/>
          <w:color w:val="000000"/>
          <w:sz w:val="24"/>
          <w:szCs w:val="24"/>
        </w:rPr>
        <w:t xml:space="preserve"> cover with metronidazole predominating in 87.5% (28/32) of cases. The difference between our protocol and theirs was the addition in our cases of gentamycin for gram negative coverage; they also used systemic steroids in 20% of their cases. The addition of gentamycin in our cases was to complement Amoxicillin which has little or no gram negative coverage. The use of systemic steroids in management of facial space infection is controversial. Advocates of systemic steroids believe that they cause membrane stabilization leading to </w:t>
      </w:r>
      <w:r>
        <w:rPr>
          <w:rFonts w:ascii="Times New Roman" w:eastAsia="Calibri" w:hAnsi="Times New Roman" w:cs="Times New Roman"/>
          <w:color w:val="000000"/>
          <w:sz w:val="24"/>
          <w:szCs w:val="24"/>
        </w:rPr>
        <w:t>reduced mast cell degranulation</w:t>
      </w:r>
      <w:r w:rsidRPr="006215A1">
        <w:rPr>
          <w:rFonts w:ascii="Times New Roman" w:eastAsia="Calibri" w:hAnsi="Times New Roman" w:cs="Times New Roman"/>
          <w:color w:val="000000"/>
          <w:sz w:val="24"/>
          <w:szCs w:val="24"/>
          <w:vertAlign w:val="superscript"/>
        </w:rPr>
        <w:t>18</w:t>
      </w:r>
      <w:r>
        <w:rPr>
          <w:rFonts w:ascii="Times New Roman" w:eastAsia="Calibri" w:hAnsi="Times New Roman" w:cs="Times New Roman"/>
          <w:color w:val="000000"/>
          <w:sz w:val="24"/>
          <w:szCs w:val="24"/>
        </w:rPr>
        <w:t>,</w:t>
      </w:r>
      <w:r w:rsidRPr="006215A1">
        <w:rPr>
          <w:rFonts w:ascii="Times New Roman" w:eastAsia="Calibri" w:hAnsi="Times New Roman" w:cs="Times New Roman"/>
          <w:color w:val="000000"/>
          <w:sz w:val="24"/>
          <w:szCs w:val="24"/>
        </w:rPr>
        <w:t xml:space="preserve"> thereby halting overwhelming systemic inflammatory response; the anti-inflammatory function of steroids may also lead to reduced airway </w:t>
      </w:r>
      <w:proofErr w:type="spellStart"/>
      <w:r w:rsidRPr="006215A1">
        <w:rPr>
          <w:rFonts w:ascii="Times New Roman" w:eastAsia="Calibri" w:hAnsi="Times New Roman" w:cs="Times New Roman"/>
          <w:color w:val="000000"/>
          <w:sz w:val="24"/>
          <w:szCs w:val="24"/>
        </w:rPr>
        <w:t>oedema</w:t>
      </w:r>
      <w:proofErr w:type="spellEnd"/>
      <w:r w:rsidRPr="006215A1">
        <w:rPr>
          <w:rFonts w:ascii="Times New Roman" w:eastAsia="Calibri" w:hAnsi="Times New Roman" w:cs="Times New Roman"/>
          <w:color w:val="000000"/>
          <w:sz w:val="24"/>
          <w:szCs w:val="24"/>
        </w:rPr>
        <w:t xml:space="preserve"> and limit associated respiratory insufficiency.</w:t>
      </w:r>
      <w:r w:rsidRPr="006215A1">
        <w:rPr>
          <w:rFonts w:ascii="Times New Roman" w:eastAsia="Calibri" w:hAnsi="Times New Roman" w:cs="Times New Roman"/>
          <w:color w:val="000000"/>
          <w:sz w:val="24"/>
          <w:szCs w:val="24"/>
          <w:vertAlign w:val="superscript"/>
        </w:rPr>
        <w:t>18</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Most of our cultures not yielding any organisms was probably because most of the patients had been commenced on antibiotics before incision and decompression. The initial use of empirical antibiotic therapy based on the clear knowledge of micro-organisms involved in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which thereafter is modified accordingly following availability of culture and sensitivity results is the standard of care.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It must be emphasized that antibiotic therapy does not replace effective incision and decompression.</w:t>
      </w:r>
      <w:r w:rsidRPr="006215A1">
        <w:rPr>
          <w:rFonts w:ascii="Times New Roman" w:eastAsia="Calibri" w:hAnsi="Times New Roman" w:cs="Times New Roman"/>
          <w:color w:val="000000"/>
          <w:sz w:val="24"/>
          <w:szCs w:val="24"/>
          <w:vertAlign w:val="superscript"/>
        </w:rPr>
        <w:t>1</w:t>
      </w:r>
      <w:r w:rsidRPr="006215A1">
        <w:rPr>
          <w:rFonts w:ascii="Times New Roman" w:eastAsia="Calibri" w:hAnsi="Times New Roman" w:cs="Times New Roman"/>
          <w:color w:val="000000"/>
          <w:sz w:val="24"/>
          <w:szCs w:val="24"/>
        </w:rPr>
        <w:t xml:space="preserve"> Incision and drainage has been discouraged in the absence of pus aspiration, </w:t>
      </w:r>
      <w:r w:rsidRPr="006215A1">
        <w:rPr>
          <w:rFonts w:ascii="Times New Roman" w:eastAsia="Calibri" w:hAnsi="Times New Roman" w:cs="Times New Roman"/>
          <w:color w:val="000000"/>
          <w:sz w:val="24"/>
          <w:szCs w:val="24"/>
        </w:rPr>
        <w:lastRenderedPageBreak/>
        <w:t>however proponents of incision and drainage even in cellulitis argue that some of the organisms involved in this process are gas producing and thus incision and drainage with insertion of drains may help to open up channels for the exit of these gases. They therefore refer to the procedure as incision and decompression rather than incision and drainage.</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Treatment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in our study involved a combination of admission, prompt institution of empirical antibiotics as well as incision and decompression with elimination of the etiologic agent. Elimination of etiologic agent in our study referred to the extraction of culprit teeth in cases from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sources so as to provide path for drainage.</w:t>
      </w:r>
      <w:r w:rsidRPr="006215A1">
        <w:rPr>
          <w:rFonts w:ascii="Times New Roman" w:eastAsia="Calibri" w:hAnsi="Times New Roman" w:cs="Times New Roman"/>
          <w:color w:val="000000"/>
          <w:sz w:val="24"/>
          <w:szCs w:val="24"/>
          <w:vertAlign w:val="superscript"/>
        </w:rPr>
        <w:t>7</w:t>
      </w:r>
      <w:r w:rsidRPr="006215A1">
        <w:rPr>
          <w:rFonts w:ascii="Times New Roman" w:eastAsia="Calibri" w:hAnsi="Times New Roman" w:cs="Times New Roman"/>
          <w:color w:val="000000"/>
          <w:sz w:val="24"/>
          <w:szCs w:val="24"/>
        </w:rPr>
        <w:t xml:space="preserve"> The finding of posterior molars (deciduous and permanent) as the commonest implicated teeth in our study was similar to the findings of other researchers on the same subject matter.</w:t>
      </w:r>
      <w:r w:rsidRPr="006215A1">
        <w:rPr>
          <w:rFonts w:ascii="Times New Roman" w:eastAsia="Calibri" w:hAnsi="Times New Roman" w:cs="Times New Roman"/>
          <w:color w:val="000000"/>
          <w:sz w:val="24"/>
          <w:szCs w:val="24"/>
          <w:vertAlign w:val="superscript"/>
        </w:rPr>
        <w:t>1,19-21</w:t>
      </w:r>
      <w:r w:rsidRPr="006215A1">
        <w:rPr>
          <w:rFonts w:ascii="Times New Roman" w:eastAsia="Calibri" w:hAnsi="Times New Roman" w:cs="Times New Roman"/>
          <w:color w:val="000000"/>
          <w:sz w:val="24"/>
          <w:szCs w:val="24"/>
        </w:rPr>
        <w:t xml:space="preserve"> However while the permanent molars had a higher frequency compared to the deciduous molars in our study, the reverse was the finding in a study from Saudi Arabia. That study involved patients aged 2-14 years, with most of them 9 years old or younger</w:t>
      </w:r>
      <w:r w:rsidRPr="006215A1">
        <w:rPr>
          <w:rFonts w:ascii="Times New Roman" w:eastAsia="Calibri" w:hAnsi="Times New Roman" w:cs="Times New Roman"/>
          <w:color w:val="000000"/>
          <w:sz w:val="24"/>
          <w:szCs w:val="24"/>
          <w:vertAlign w:val="superscript"/>
        </w:rPr>
        <w:t>1</w:t>
      </w:r>
      <w:r w:rsidRPr="006215A1">
        <w:rPr>
          <w:rFonts w:ascii="Times New Roman" w:eastAsia="Calibri" w:hAnsi="Times New Roman" w:cs="Times New Roman"/>
          <w:color w:val="000000"/>
          <w:sz w:val="24"/>
          <w:szCs w:val="24"/>
        </w:rPr>
        <w:t>.</w:t>
      </w: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color w:val="000000"/>
          <w:sz w:val="24"/>
          <w:szCs w:val="24"/>
        </w:rPr>
        <w:t xml:space="preserve"> The finding of more males being affected than females in the present study may have to do with a lower pain threshold in relation to dental causes in female children when compared with males.</w:t>
      </w:r>
      <w:r w:rsidRPr="006215A1">
        <w:rPr>
          <w:rFonts w:ascii="Times New Roman" w:eastAsia="Calibri" w:hAnsi="Times New Roman" w:cs="Times New Roman"/>
          <w:color w:val="000000"/>
          <w:sz w:val="24"/>
          <w:szCs w:val="24"/>
          <w:vertAlign w:val="superscript"/>
        </w:rPr>
        <w:t>22</w:t>
      </w:r>
      <w:r w:rsidRPr="006215A1">
        <w:rPr>
          <w:rFonts w:ascii="Times New Roman" w:eastAsia="Calibri" w:hAnsi="Times New Roman" w:cs="Times New Roman"/>
          <w:color w:val="000000"/>
          <w:sz w:val="24"/>
          <w:szCs w:val="24"/>
        </w:rPr>
        <w:t xml:space="preserve"> Female children are thus more likely to present earlier to the clinic for medical attention before complications ensue.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Most of the cases in our series were of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origin requiring extraction of the offending tooth as a means of eliminating the </w:t>
      </w:r>
      <w:proofErr w:type="spellStart"/>
      <w:r w:rsidRPr="006215A1">
        <w:rPr>
          <w:rFonts w:ascii="Times New Roman" w:eastAsia="Calibri" w:hAnsi="Times New Roman" w:cs="Times New Roman"/>
          <w:color w:val="000000"/>
          <w:sz w:val="24"/>
          <w:szCs w:val="24"/>
        </w:rPr>
        <w:t>aetiologic</w:t>
      </w:r>
      <w:proofErr w:type="spellEnd"/>
      <w:r w:rsidRPr="006215A1">
        <w:rPr>
          <w:rFonts w:ascii="Times New Roman" w:eastAsia="Calibri" w:hAnsi="Times New Roman" w:cs="Times New Roman"/>
          <w:color w:val="000000"/>
          <w:sz w:val="24"/>
          <w:szCs w:val="24"/>
        </w:rPr>
        <w:t xml:space="preserve"> agent. Although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causes are documented to predominate in 90%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-facial infections in adults</w:t>
      </w:r>
      <w:proofErr w:type="gramStart"/>
      <w:r w:rsidRPr="006215A1">
        <w:rPr>
          <w:rFonts w:ascii="Times New Roman" w:eastAsia="Calibri" w:hAnsi="Times New Roman" w:cs="Times New Roman"/>
          <w:color w:val="000000"/>
          <w:sz w:val="24"/>
          <w:szCs w:val="24"/>
        </w:rPr>
        <w:t>,</w:t>
      </w:r>
      <w:r w:rsidRPr="006215A1">
        <w:rPr>
          <w:rFonts w:ascii="Times New Roman" w:eastAsia="Calibri" w:hAnsi="Times New Roman" w:cs="Times New Roman"/>
          <w:color w:val="000000"/>
          <w:sz w:val="24"/>
          <w:szCs w:val="24"/>
          <w:vertAlign w:val="superscript"/>
        </w:rPr>
        <w:t>23</w:t>
      </w:r>
      <w:proofErr w:type="gramEnd"/>
      <w:r w:rsidRPr="006215A1">
        <w:rPr>
          <w:rFonts w:ascii="Times New Roman" w:eastAsia="Calibri" w:hAnsi="Times New Roman" w:cs="Times New Roman"/>
          <w:color w:val="000000"/>
          <w:sz w:val="24"/>
          <w:szCs w:val="24"/>
          <w:vertAlign w:val="superscript"/>
        </w:rPr>
        <w:t xml:space="preserve"> </w:t>
      </w:r>
      <w:proofErr w:type="spellStart"/>
      <w:r w:rsidRPr="006215A1">
        <w:rPr>
          <w:rFonts w:ascii="Times New Roman" w:eastAsia="Calibri" w:hAnsi="Times New Roman" w:cs="Times New Roman"/>
          <w:color w:val="000000"/>
          <w:sz w:val="24"/>
          <w:szCs w:val="24"/>
        </w:rPr>
        <w:t>Brotherton</w:t>
      </w:r>
      <w:proofErr w:type="spellEnd"/>
      <w:r w:rsidRPr="006215A1">
        <w:rPr>
          <w:rFonts w:ascii="Times New Roman" w:eastAsia="Calibri" w:hAnsi="Times New Roman" w:cs="Times New Roman"/>
          <w:color w:val="000000"/>
          <w:sz w:val="24"/>
          <w:szCs w:val="24"/>
        </w:rPr>
        <w:t xml:space="preserve"> et al</w:t>
      </w:r>
      <w:r w:rsidRPr="006215A1">
        <w:rPr>
          <w:rFonts w:ascii="Times New Roman" w:eastAsia="Calibri" w:hAnsi="Times New Roman" w:cs="Times New Roman"/>
          <w:color w:val="000000"/>
          <w:sz w:val="24"/>
          <w:szCs w:val="24"/>
          <w:vertAlign w:val="superscript"/>
        </w:rPr>
        <w:t>15</w:t>
      </w:r>
      <w:r w:rsidRPr="006215A1">
        <w:rPr>
          <w:rFonts w:ascii="Times New Roman" w:eastAsia="Calibri" w:hAnsi="Times New Roman" w:cs="Times New Roman"/>
          <w:color w:val="000000"/>
          <w:sz w:val="24"/>
          <w:szCs w:val="24"/>
        </w:rPr>
        <w:t xml:space="preserve"> in contrast to our study found a dental risk in only one-third of the 35 children they reviewed.  The non-</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causes in their study included mouth trauma, mandibular fracture and complication of </w:t>
      </w:r>
      <w:proofErr w:type="spellStart"/>
      <w:r w:rsidRPr="006215A1">
        <w:rPr>
          <w:rFonts w:ascii="Times New Roman" w:eastAsia="Calibri" w:hAnsi="Times New Roman" w:cs="Times New Roman"/>
          <w:color w:val="000000"/>
          <w:sz w:val="24"/>
          <w:szCs w:val="24"/>
        </w:rPr>
        <w:t>frenuloplasty</w:t>
      </w:r>
      <w:proofErr w:type="spellEnd"/>
      <w:r w:rsidRPr="006215A1">
        <w:rPr>
          <w:rFonts w:ascii="Times New Roman" w:eastAsia="Calibri" w:hAnsi="Times New Roman" w:cs="Times New Roman"/>
          <w:color w:val="000000"/>
          <w:sz w:val="24"/>
          <w:szCs w:val="24"/>
        </w:rPr>
        <w:t>. Other non-</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causes of </w:t>
      </w:r>
      <w:proofErr w:type="spellStart"/>
      <w:r w:rsidRPr="006215A1">
        <w:rPr>
          <w:rFonts w:ascii="Times New Roman" w:eastAsia="Calibri" w:hAnsi="Times New Roman" w:cs="Times New Roman"/>
          <w:color w:val="000000"/>
          <w:sz w:val="24"/>
          <w:szCs w:val="24"/>
        </w:rPr>
        <w:t>orofacial</w:t>
      </w:r>
      <w:proofErr w:type="spellEnd"/>
      <w:r w:rsidRPr="006215A1">
        <w:rPr>
          <w:rFonts w:ascii="Times New Roman" w:eastAsia="Calibri" w:hAnsi="Times New Roman" w:cs="Times New Roman"/>
          <w:color w:val="000000"/>
          <w:sz w:val="24"/>
          <w:szCs w:val="24"/>
        </w:rPr>
        <w:t xml:space="preserve"> space infection like </w:t>
      </w:r>
      <w:proofErr w:type="spellStart"/>
      <w:r w:rsidRPr="006215A1">
        <w:rPr>
          <w:rFonts w:ascii="Times New Roman" w:eastAsia="Calibri" w:hAnsi="Times New Roman" w:cs="Times New Roman"/>
          <w:color w:val="000000"/>
          <w:sz w:val="24"/>
          <w:szCs w:val="24"/>
        </w:rPr>
        <w:t>tonsillar</w:t>
      </w:r>
      <w:proofErr w:type="spellEnd"/>
      <w:r w:rsidRPr="006215A1">
        <w:rPr>
          <w:rFonts w:ascii="Times New Roman" w:eastAsia="Calibri" w:hAnsi="Times New Roman" w:cs="Times New Roman"/>
          <w:color w:val="000000"/>
          <w:sz w:val="24"/>
          <w:szCs w:val="24"/>
        </w:rPr>
        <w:t xml:space="preserve"> infection, </w:t>
      </w:r>
      <w:proofErr w:type="spellStart"/>
      <w:r w:rsidRPr="006215A1">
        <w:rPr>
          <w:rFonts w:ascii="Times New Roman" w:eastAsia="Calibri" w:hAnsi="Times New Roman" w:cs="Times New Roman"/>
          <w:color w:val="000000"/>
          <w:sz w:val="24"/>
          <w:szCs w:val="24"/>
        </w:rPr>
        <w:t>sialadenitis</w:t>
      </w:r>
      <w:proofErr w:type="spellEnd"/>
      <w:r w:rsidRPr="006215A1">
        <w:rPr>
          <w:rFonts w:ascii="Times New Roman" w:eastAsia="Calibri" w:hAnsi="Times New Roman" w:cs="Times New Roman"/>
          <w:color w:val="000000"/>
          <w:sz w:val="24"/>
          <w:szCs w:val="24"/>
        </w:rPr>
        <w:t xml:space="preserve"> of the </w:t>
      </w:r>
      <w:proofErr w:type="spellStart"/>
      <w:r w:rsidRPr="006215A1">
        <w:rPr>
          <w:rFonts w:ascii="Times New Roman" w:eastAsia="Calibri" w:hAnsi="Times New Roman" w:cs="Times New Roman"/>
          <w:color w:val="000000"/>
          <w:sz w:val="24"/>
          <w:szCs w:val="24"/>
        </w:rPr>
        <w:t>peri</w:t>
      </w:r>
      <w:proofErr w:type="spellEnd"/>
      <w:r w:rsidRPr="006215A1">
        <w:rPr>
          <w:rFonts w:ascii="Times New Roman" w:eastAsia="Calibri" w:hAnsi="Times New Roman" w:cs="Times New Roman"/>
          <w:color w:val="000000"/>
          <w:sz w:val="24"/>
          <w:szCs w:val="24"/>
        </w:rPr>
        <w:t xml:space="preserve">-oral minor salivary glands and gingival infections may </w:t>
      </w:r>
      <w:r w:rsidRPr="006215A1">
        <w:rPr>
          <w:rFonts w:ascii="Times New Roman" w:eastAsia="Calibri" w:hAnsi="Times New Roman" w:cs="Times New Roman"/>
          <w:color w:val="000000"/>
          <w:sz w:val="24"/>
          <w:szCs w:val="24"/>
        </w:rPr>
        <w:lastRenderedPageBreak/>
        <w:t xml:space="preserve">not require tooth extraction as was seen in the 3 cases of </w:t>
      </w:r>
      <w:proofErr w:type="spellStart"/>
      <w:r w:rsidRPr="006215A1">
        <w:rPr>
          <w:rFonts w:ascii="Times New Roman" w:eastAsia="Calibri" w:hAnsi="Times New Roman" w:cs="Times New Roman"/>
          <w:color w:val="000000"/>
          <w:sz w:val="24"/>
          <w:szCs w:val="24"/>
        </w:rPr>
        <w:t>submental</w:t>
      </w:r>
      <w:proofErr w:type="spellEnd"/>
      <w:r w:rsidRPr="006215A1">
        <w:rPr>
          <w:rFonts w:ascii="Times New Roman" w:eastAsia="Calibri" w:hAnsi="Times New Roman" w:cs="Times New Roman"/>
          <w:color w:val="000000"/>
          <w:sz w:val="24"/>
          <w:szCs w:val="24"/>
        </w:rPr>
        <w:t xml:space="preserve"> space and 9 cases of isolated unilateral submandibular space infections in the present study.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Tooth extraction as a means of removal of </w:t>
      </w:r>
      <w:proofErr w:type="spellStart"/>
      <w:r w:rsidRPr="006215A1">
        <w:rPr>
          <w:rFonts w:ascii="Times New Roman" w:eastAsia="Calibri" w:hAnsi="Times New Roman" w:cs="Times New Roman"/>
          <w:color w:val="000000"/>
          <w:sz w:val="24"/>
          <w:szCs w:val="24"/>
        </w:rPr>
        <w:t>aetiologic</w:t>
      </w:r>
      <w:proofErr w:type="spellEnd"/>
      <w:r w:rsidRPr="006215A1">
        <w:rPr>
          <w:rFonts w:ascii="Times New Roman" w:eastAsia="Calibri" w:hAnsi="Times New Roman" w:cs="Times New Roman"/>
          <w:color w:val="000000"/>
          <w:sz w:val="24"/>
          <w:szCs w:val="24"/>
        </w:rPr>
        <w:t xml:space="preserve"> agent is one of the most important adjuncts to treatment of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w:t>
      </w:r>
      <w:r w:rsidRPr="006215A1">
        <w:rPr>
          <w:rFonts w:ascii="Times New Roman" w:eastAsia="Calibri" w:hAnsi="Times New Roman" w:cs="Times New Roman"/>
          <w:color w:val="000000"/>
          <w:sz w:val="24"/>
          <w:szCs w:val="24"/>
          <w:vertAlign w:val="superscript"/>
        </w:rPr>
        <w:t>7</w:t>
      </w:r>
      <w:r w:rsidRPr="006215A1">
        <w:rPr>
          <w:rFonts w:ascii="Times New Roman" w:eastAsia="Calibri" w:hAnsi="Times New Roman" w:cs="Times New Roman"/>
          <w:color w:val="000000"/>
          <w:sz w:val="24"/>
          <w:szCs w:val="24"/>
        </w:rPr>
        <w:t xml:space="preserve"> </w:t>
      </w:r>
      <w:proofErr w:type="gramStart"/>
      <w:r w:rsidRPr="006215A1">
        <w:rPr>
          <w:rFonts w:ascii="Times New Roman" w:eastAsia="Calibri" w:hAnsi="Times New Roman" w:cs="Times New Roman"/>
          <w:color w:val="000000"/>
          <w:sz w:val="24"/>
          <w:szCs w:val="24"/>
        </w:rPr>
        <w:t>This</w:t>
      </w:r>
      <w:proofErr w:type="gramEnd"/>
      <w:r w:rsidRPr="006215A1">
        <w:rPr>
          <w:rFonts w:ascii="Times New Roman" w:eastAsia="Calibri" w:hAnsi="Times New Roman" w:cs="Times New Roman"/>
          <w:color w:val="000000"/>
          <w:sz w:val="24"/>
          <w:szCs w:val="24"/>
        </w:rPr>
        <w:t xml:space="preserve"> is mainly related to the ability of the extraction tooth socket to serve as the most important drainage site for the abscess since the involved tooth forms the largest concentration pool for the exudate collection. The admission of the patients in our study was to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ward giving the </w:t>
      </w:r>
      <w:proofErr w:type="spellStart"/>
      <w:r w:rsidRPr="006215A1">
        <w:rPr>
          <w:rFonts w:ascii="Times New Roman" w:eastAsia="Calibri" w:hAnsi="Times New Roman" w:cs="Times New Roman"/>
          <w:color w:val="000000"/>
          <w:sz w:val="24"/>
          <w:szCs w:val="24"/>
        </w:rPr>
        <w:t>paediatricians</w:t>
      </w:r>
      <w:proofErr w:type="spellEnd"/>
      <w:r w:rsidRPr="006215A1">
        <w:rPr>
          <w:rFonts w:ascii="Times New Roman" w:eastAsia="Calibri" w:hAnsi="Times New Roman" w:cs="Times New Roman"/>
          <w:color w:val="000000"/>
          <w:sz w:val="24"/>
          <w:szCs w:val="24"/>
        </w:rPr>
        <w:t xml:space="preserve"> the opportunity to review and participate in the management of these cases. </w:t>
      </w:r>
      <w:proofErr w:type="spellStart"/>
      <w:r w:rsidRPr="006215A1">
        <w:rPr>
          <w:rFonts w:ascii="Times New Roman" w:eastAsia="Calibri" w:hAnsi="Times New Roman" w:cs="Times New Roman"/>
          <w:color w:val="000000"/>
          <w:sz w:val="24"/>
          <w:szCs w:val="24"/>
        </w:rPr>
        <w:t>Paediatrician</w:t>
      </w:r>
      <w:proofErr w:type="spellEnd"/>
      <w:r w:rsidRPr="006215A1">
        <w:rPr>
          <w:rFonts w:ascii="Times New Roman" w:eastAsia="Calibri" w:hAnsi="Times New Roman" w:cs="Times New Roman"/>
          <w:color w:val="000000"/>
          <w:sz w:val="24"/>
          <w:szCs w:val="24"/>
        </w:rPr>
        <w:t xml:space="preserve"> involvement is necessary so as to promptly pick up associated systemic complications. The average duration of admission in the present study was consistent with the finding of other studies in similar age group with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w:t>
      </w:r>
      <w:r>
        <w:rPr>
          <w:rFonts w:ascii="Times New Roman" w:eastAsia="Calibri" w:hAnsi="Times New Roman" w:cs="Times New Roman"/>
          <w:color w:val="000000"/>
          <w:sz w:val="24"/>
          <w:szCs w:val="24"/>
          <w:vertAlign w:val="superscript"/>
        </w:rPr>
        <w:t>1</w:t>
      </w:r>
      <w:proofErr w:type="gramStart"/>
      <w:r>
        <w:rPr>
          <w:rFonts w:ascii="Times New Roman" w:eastAsia="Calibri" w:hAnsi="Times New Roman" w:cs="Times New Roman"/>
          <w:color w:val="000000"/>
          <w:sz w:val="24"/>
          <w:szCs w:val="24"/>
          <w:vertAlign w:val="superscript"/>
        </w:rPr>
        <w:t>,</w:t>
      </w:r>
      <w:r w:rsidRPr="006215A1">
        <w:rPr>
          <w:rFonts w:ascii="Times New Roman" w:eastAsia="Calibri" w:hAnsi="Times New Roman" w:cs="Times New Roman"/>
          <w:color w:val="000000"/>
          <w:sz w:val="24"/>
          <w:szCs w:val="24"/>
          <w:vertAlign w:val="superscript"/>
        </w:rPr>
        <w:t>24</w:t>
      </w:r>
      <w:proofErr w:type="gramEnd"/>
      <w:r w:rsidRPr="006215A1">
        <w:rPr>
          <w:rFonts w:ascii="Times New Roman" w:eastAsia="Calibri" w:hAnsi="Times New Roman" w:cs="Times New Roman"/>
          <w:color w:val="000000"/>
          <w:sz w:val="24"/>
          <w:szCs w:val="24"/>
          <w:vertAlign w:val="superscript"/>
        </w:rPr>
        <w:t>-25</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The observation that all the children were visiting the dental clinic for the first time clearly justifies the saying that neglected dental care probably constitutes one of the greatest determinants of morbidity and mortality in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Children are supposed to be introduced to the dental clinic after the eruption of their first teeth and a routine dental visit schedule and follow up plan charted for them. This will help prompt detection and treatment of dental diseases and prevention of their complications.  The ratio of the population of Gambians to a dentist is over 200,000 meaning that majority of the Gambian population may never get to see a dentist in their life time. Oro-facial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is preventable when adequate attention is given to oral health. </w:t>
      </w:r>
    </w:p>
    <w:p w:rsidR="00616A85" w:rsidRPr="006215A1" w:rsidRDefault="00616A85" w:rsidP="00616A85">
      <w:pPr>
        <w:spacing w:after="0" w:line="480" w:lineRule="auto"/>
        <w:ind w:right="-194"/>
        <w:jc w:val="both"/>
        <w:rPr>
          <w:rFonts w:ascii="Times New Roman" w:eastAsia="Calibri" w:hAnsi="Times New Roman" w:cs="Times New Roman"/>
          <w:b/>
          <w:strike/>
          <w:color w:val="000000"/>
          <w:sz w:val="24"/>
          <w:szCs w:val="24"/>
        </w:rPr>
      </w:pPr>
      <w:r w:rsidRPr="006215A1">
        <w:rPr>
          <w:rFonts w:ascii="Times New Roman" w:eastAsia="Calibri" w:hAnsi="Times New Roman" w:cs="Times New Roman"/>
          <w:color w:val="000000"/>
          <w:sz w:val="24"/>
          <w:szCs w:val="24"/>
        </w:rPr>
        <w:t>The mortalities that occurred in our series were within the first few days of admission and they occurred in those below the age of 5 years.</w:t>
      </w:r>
      <w:r w:rsidRPr="006215A1">
        <w:rPr>
          <w:rFonts w:ascii="Times New Roman" w:eastAsia="Calibri" w:hAnsi="Times New Roman" w:cs="Times New Roman"/>
          <w:b/>
          <w:color w:val="000000"/>
          <w:sz w:val="24"/>
          <w:szCs w:val="24"/>
        </w:rPr>
        <w:t xml:space="preserve"> </w:t>
      </w:r>
      <w:r w:rsidRPr="006215A1">
        <w:rPr>
          <w:rFonts w:ascii="Times New Roman" w:eastAsia="Calibri" w:hAnsi="Times New Roman" w:cs="Times New Roman"/>
          <w:color w:val="000000"/>
          <w:sz w:val="24"/>
          <w:szCs w:val="24"/>
        </w:rPr>
        <w:t xml:space="preserve">The short duration of admission before death may suggest both delay in presentation as well as advanced stage of disease at presentation. These mortalities underscore the need for public health education on the causes and outcomes associated with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infections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population. Regular dental </w:t>
      </w:r>
      <w:r w:rsidRPr="006215A1">
        <w:rPr>
          <w:rFonts w:ascii="Times New Roman" w:eastAsia="Calibri" w:hAnsi="Times New Roman" w:cs="Times New Roman"/>
          <w:color w:val="000000"/>
          <w:sz w:val="24"/>
          <w:szCs w:val="24"/>
        </w:rPr>
        <w:lastRenderedPageBreak/>
        <w:t xml:space="preserve">visits should be encouraged. More importantly, efforts should be made to train more dental surgeons, dental specialists and dental auxiliaries to be able to meet the need for oral health care in the country. </w:t>
      </w:r>
    </w:p>
    <w:p w:rsidR="00616A85" w:rsidRDefault="00616A85" w:rsidP="00616A85">
      <w:pPr>
        <w:spacing w:after="0" w:line="480" w:lineRule="auto"/>
        <w:ind w:right="-194"/>
        <w:jc w:val="both"/>
        <w:rPr>
          <w:rFonts w:ascii="Times New Roman" w:eastAsia="Calibri" w:hAnsi="Times New Roman" w:cs="Times New Roman"/>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Conclusion</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The commonest symptoms of </w:t>
      </w:r>
      <w:proofErr w:type="spellStart"/>
      <w:r w:rsidRPr="006215A1">
        <w:rPr>
          <w:rFonts w:ascii="Times New Roman" w:eastAsia="Calibri" w:hAnsi="Times New Roman" w:cs="Times New Roman"/>
          <w:color w:val="000000"/>
          <w:sz w:val="24"/>
          <w:szCs w:val="24"/>
        </w:rPr>
        <w:t>oro</w:t>
      </w:r>
      <w:proofErr w:type="spellEnd"/>
      <w:r w:rsidRPr="006215A1">
        <w:rPr>
          <w:rFonts w:ascii="Times New Roman" w:eastAsia="Calibri" w:hAnsi="Times New Roman" w:cs="Times New Roman"/>
          <w:color w:val="000000"/>
          <w:sz w:val="24"/>
          <w:szCs w:val="24"/>
        </w:rPr>
        <w:t xml:space="preserve">-facial </w:t>
      </w:r>
      <w:proofErr w:type="spellStart"/>
      <w:r w:rsidRPr="006215A1">
        <w:rPr>
          <w:rFonts w:ascii="Times New Roman" w:eastAsia="Calibri" w:hAnsi="Times New Roman" w:cs="Times New Roman"/>
          <w:color w:val="000000"/>
          <w:sz w:val="24"/>
          <w:szCs w:val="24"/>
        </w:rPr>
        <w:t>fascial</w:t>
      </w:r>
      <w:proofErr w:type="spellEnd"/>
      <w:r w:rsidRPr="006215A1">
        <w:rPr>
          <w:rFonts w:ascii="Times New Roman" w:eastAsia="Calibri" w:hAnsi="Times New Roman" w:cs="Times New Roman"/>
          <w:color w:val="000000"/>
          <w:sz w:val="24"/>
          <w:szCs w:val="24"/>
        </w:rPr>
        <w:t xml:space="preserve"> space infection in the Gambian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population were fever, facial swelling and toothache. Most of the infections were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and affected most commonly the submandibular space. Posterior teeth were more commonly involved than the anterior, with the first permanent molar being the most commonly affected tooth. Incision and decompression were performed in all </w:t>
      </w:r>
      <w:proofErr w:type="spellStart"/>
      <w:r w:rsidRPr="006215A1">
        <w:rPr>
          <w:rFonts w:ascii="Times New Roman" w:eastAsia="Calibri" w:hAnsi="Times New Roman" w:cs="Times New Roman"/>
          <w:color w:val="000000"/>
          <w:sz w:val="24"/>
          <w:szCs w:val="24"/>
        </w:rPr>
        <w:t>odontogenic</w:t>
      </w:r>
      <w:proofErr w:type="spellEnd"/>
      <w:r w:rsidRPr="006215A1">
        <w:rPr>
          <w:rFonts w:ascii="Times New Roman" w:eastAsia="Calibri" w:hAnsi="Times New Roman" w:cs="Times New Roman"/>
          <w:color w:val="000000"/>
          <w:sz w:val="24"/>
          <w:szCs w:val="24"/>
        </w:rPr>
        <w:t xml:space="preserve"> cases, with extraction of all culprit teeth. All patients had in-patient treatment with intravenous amoxicillin, metronidazole and gentamicin. The mortality rate was 5.4%. The burden of dental caries and its complication is huge in the </w:t>
      </w:r>
      <w:proofErr w:type="spellStart"/>
      <w:r w:rsidRPr="006215A1">
        <w:rPr>
          <w:rFonts w:ascii="Times New Roman" w:eastAsia="Calibri" w:hAnsi="Times New Roman" w:cs="Times New Roman"/>
          <w:color w:val="000000"/>
          <w:sz w:val="24"/>
          <w:szCs w:val="24"/>
        </w:rPr>
        <w:t>paediatric</w:t>
      </w:r>
      <w:proofErr w:type="spellEnd"/>
      <w:r w:rsidRPr="006215A1">
        <w:rPr>
          <w:rFonts w:ascii="Times New Roman" w:eastAsia="Calibri" w:hAnsi="Times New Roman" w:cs="Times New Roman"/>
          <w:color w:val="000000"/>
          <w:sz w:val="24"/>
          <w:szCs w:val="24"/>
        </w:rPr>
        <w:t xml:space="preserve"> population of the Gambia. Training of dental specialists and their auxiliaries with advocacy on the need for regular dental checkup for children, as well as prompt attention to dental diseases will help to reduce this scourge.  </w:t>
      </w:r>
    </w:p>
    <w:p w:rsidR="00616A85" w:rsidRPr="006215A1" w:rsidRDefault="00616A85" w:rsidP="00616A85">
      <w:pPr>
        <w:spacing w:after="0" w:line="480" w:lineRule="auto"/>
        <w:ind w:right="-194"/>
        <w:jc w:val="both"/>
        <w:rPr>
          <w:rFonts w:ascii="Times New Roman" w:eastAsia="Calibri" w:hAnsi="Times New Roman" w:cs="Times New Roman"/>
          <w:color w:val="000000"/>
          <w:sz w:val="24"/>
          <w:szCs w:val="24"/>
        </w:rPr>
      </w:pPr>
    </w:p>
    <w:p w:rsidR="00616A85" w:rsidRPr="006215A1" w:rsidRDefault="00616A85" w:rsidP="00616A85">
      <w:pPr>
        <w:spacing w:after="0" w:line="480" w:lineRule="auto"/>
        <w:ind w:right="-194"/>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References</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lang w:val="en-GB"/>
        </w:rPr>
        <w:t>Al-Malik M, Al-</w:t>
      </w:r>
      <w:proofErr w:type="spellStart"/>
      <w:r w:rsidRPr="006215A1">
        <w:rPr>
          <w:rFonts w:ascii="Times New Roman" w:eastAsia="Calibri" w:hAnsi="Times New Roman" w:cs="Times New Roman"/>
          <w:color w:val="000000"/>
          <w:sz w:val="24"/>
          <w:szCs w:val="24"/>
          <w:lang w:val="en-GB"/>
        </w:rPr>
        <w:t>Sarheed</w:t>
      </w:r>
      <w:proofErr w:type="spellEnd"/>
      <w:r w:rsidRPr="006215A1">
        <w:rPr>
          <w:rFonts w:ascii="Times New Roman" w:eastAsia="Calibri" w:hAnsi="Times New Roman" w:cs="Times New Roman"/>
          <w:color w:val="000000"/>
          <w:sz w:val="24"/>
          <w:szCs w:val="24"/>
          <w:lang w:val="en-GB"/>
        </w:rPr>
        <w:t xml:space="preserve"> M. Pattern of management of </w:t>
      </w:r>
      <w:proofErr w:type="spellStart"/>
      <w:r w:rsidRPr="006215A1">
        <w:rPr>
          <w:rFonts w:ascii="Times New Roman" w:eastAsia="Calibri" w:hAnsi="Times New Roman" w:cs="Times New Roman"/>
          <w:color w:val="000000"/>
          <w:sz w:val="24"/>
          <w:szCs w:val="24"/>
          <w:lang w:val="en-GB"/>
        </w:rPr>
        <w:t>oro</w:t>
      </w:r>
      <w:proofErr w:type="spellEnd"/>
      <w:r w:rsidRPr="006215A1">
        <w:rPr>
          <w:rFonts w:ascii="Times New Roman" w:eastAsia="Calibri" w:hAnsi="Times New Roman" w:cs="Times New Roman"/>
          <w:color w:val="000000"/>
          <w:sz w:val="24"/>
          <w:szCs w:val="24"/>
          <w:lang w:val="en-GB"/>
        </w:rPr>
        <w:t xml:space="preserve">-facial infection in children: A retrospective. </w:t>
      </w:r>
      <w:r w:rsidRPr="006215A1">
        <w:rPr>
          <w:rFonts w:ascii="Times New Roman" w:eastAsia="Calibri" w:hAnsi="Times New Roman" w:cs="Times New Roman"/>
          <w:color w:val="000000"/>
          <w:sz w:val="24"/>
          <w:szCs w:val="24"/>
        </w:rPr>
        <w:t xml:space="preserve">Saudi J </w:t>
      </w:r>
      <w:proofErr w:type="spellStart"/>
      <w:r w:rsidRPr="006215A1">
        <w:rPr>
          <w:rFonts w:ascii="Times New Roman" w:eastAsia="Calibri" w:hAnsi="Times New Roman" w:cs="Times New Roman"/>
          <w:color w:val="000000"/>
          <w:sz w:val="24"/>
          <w:szCs w:val="24"/>
        </w:rPr>
        <w:t>Biol</w:t>
      </w:r>
      <w:proofErr w:type="spellEnd"/>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Sci</w:t>
      </w:r>
      <w:proofErr w:type="spellEnd"/>
      <w:r w:rsidRPr="006215A1">
        <w:rPr>
          <w:rFonts w:ascii="Times New Roman" w:eastAsia="Calibri" w:hAnsi="Times New Roman" w:cs="Times New Roman"/>
          <w:color w:val="000000"/>
          <w:sz w:val="24"/>
          <w:szCs w:val="24"/>
        </w:rPr>
        <w:t xml:space="preserve"> 2017</w:t>
      </w:r>
      <w:proofErr w:type="gramStart"/>
      <w:r w:rsidRPr="006215A1">
        <w:rPr>
          <w:rFonts w:ascii="Times New Roman" w:eastAsia="Calibri" w:hAnsi="Times New Roman" w:cs="Times New Roman"/>
          <w:color w:val="000000"/>
          <w:sz w:val="24"/>
          <w:szCs w:val="24"/>
        </w:rPr>
        <w:t>;24:1375</w:t>
      </w:r>
      <w:proofErr w:type="gramEnd"/>
      <w:r w:rsidRPr="006215A1">
        <w:rPr>
          <w:rFonts w:ascii="Times New Roman" w:eastAsia="Calibri" w:hAnsi="Times New Roman" w:cs="Times New Roman"/>
          <w:color w:val="000000"/>
          <w:sz w:val="24"/>
          <w:szCs w:val="24"/>
        </w:rPr>
        <w:t>-1379.</w:t>
      </w:r>
    </w:p>
    <w:p w:rsidR="00616A85" w:rsidRPr="006215A1" w:rsidRDefault="00616A85" w:rsidP="00616A85">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Times New Roman" w:hAnsi="Times New Roman" w:cs="Times New Roman"/>
          <w:color w:val="000000"/>
          <w:sz w:val="24"/>
          <w:szCs w:val="24"/>
          <w:lang w:val="en-GB"/>
        </w:rPr>
        <w:t>Heimdahl</w:t>
      </w:r>
      <w:proofErr w:type="spellEnd"/>
      <w:r w:rsidRPr="006215A1">
        <w:rPr>
          <w:rFonts w:ascii="Times New Roman" w:eastAsia="Times New Roman" w:hAnsi="Times New Roman" w:cs="Times New Roman"/>
          <w:color w:val="000000"/>
          <w:sz w:val="24"/>
          <w:szCs w:val="24"/>
          <w:lang w:val="en-GB"/>
        </w:rPr>
        <w:t xml:space="preserve"> A, Von </w:t>
      </w:r>
      <w:proofErr w:type="spellStart"/>
      <w:r w:rsidRPr="006215A1">
        <w:rPr>
          <w:rFonts w:ascii="Times New Roman" w:eastAsia="Times New Roman" w:hAnsi="Times New Roman" w:cs="Times New Roman"/>
          <w:color w:val="000000"/>
          <w:sz w:val="24"/>
          <w:szCs w:val="24"/>
          <w:lang w:val="en-GB"/>
        </w:rPr>
        <w:t>Konow</w:t>
      </w:r>
      <w:proofErr w:type="spellEnd"/>
      <w:r w:rsidRPr="006215A1">
        <w:rPr>
          <w:rFonts w:ascii="Times New Roman" w:eastAsia="Times New Roman" w:hAnsi="Times New Roman" w:cs="Times New Roman"/>
          <w:color w:val="000000"/>
          <w:sz w:val="24"/>
          <w:szCs w:val="24"/>
          <w:lang w:val="en-GB"/>
        </w:rPr>
        <w:t xml:space="preserve"> L, Satoh T, Nord C.E. Clinical appearance of </w:t>
      </w:r>
      <w:proofErr w:type="spellStart"/>
      <w:r w:rsidRPr="006215A1">
        <w:rPr>
          <w:rFonts w:ascii="Times New Roman" w:eastAsia="Times New Roman" w:hAnsi="Times New Roman" w:cs="Times New Roman"/>
          <w:color w:val="000000"/>
          <w:sz w:val="24"/>
          <w:szCs w:val="24"/>
          <w:lang w:val="en-GB"/>
        </w:rPr>
        <w:t>orofacial</w:t>
      </w:r>
      <w:proofErr w:type="spellEnd"/>
      <w:r w:rsidRPr="006215A1">
        <w:rPr>
          <w:rFonts w:ascii="Times New Roman" w:eastAsia="Times New Roman" w:hAnsi="Times New Roman" w:cs="Times New Roman"/>
          <w:color w:val="000000"/>
          <w:sz w:val="24"/>
          <w:szCs w:val="24"/>
          <w:lang w:val="en-GB"/>
        </w:rPr>
        <w:t xml:space="preserve"> infections of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origin in relation to microbiological findings. J. </w:t>
      </w:r>
      <w:proofErr w:type="spellStart"/>
      <w:r w:rsidRPr="006215A1">
        <w:rPr>
          <w:rFonts w:ascii="Times New Roman" w:eastAsia="Times New Roman" w:hAnsi="Times New Roman" w:cs="Times New Roman"/>
          <w:color w:val="000000"/>
          <w:sz w:val="24"/>
          <w:szCs w:val="24"/>
          <w:lang w:val="en-GB"/>
        </w:rPr>
        <w:t>Clin</w:t>
      </w:r>
      <w:proofErr w:type="spellEnd"/>
      <w:r w:rsidRPr="006215A1">
        <w:rPr>
          <w:rFonts w:ascii="Times New Roman" w:eastAsia="Times New Roman" w:hAnsi="Times New Roman" w:cs="Times New Roman"/>
          <w:color w:val="000000"/>
          <w:sz w:val="24"/>
          <w:szCs w:val="24"/>
          <w:lang w:val="en-GB"/>
        </w:rPr>
        <w:t xml:space="preserve">. </w:t>
      </w:r>
      <w:proofErr w:type="spellStart"/>
      <w:r w:rsidRPr="006215A1">
        <w:rPr>
          <w:rFonts w:ascii="Times New Roman" w:eastAsia="Times New Roman" w:hAnsi="Times New Roman" w:cs="Times New Roman"/>
          <w:color w:val="000000"/>
          <w:sz w:val="24"/>
          <w:szCs w:val="24"/>
          <w:lang w:val="en-GB"/>
        </w:rPr>
        <w:t>Microbiol</w:t>
      </w:r>
      <w:proofErr w:type="spellEnd"/>
      <w:r w:rsidRPr="006215A1">
        <w:rPr>
          <w:rFonts w:ascii="Times New Roman" w:eastAsia="Times New Roman" w:hAnsi="Times New Roman" w:cs="Times New Roman"/>
          <w:color w:val="000000"/>
          <w:sz w:val="24"/>
          <w:szCs w:val="24"/>
          <w:lang w:val="en-GB"/>
        </w:rPr>
        <w:t>. 1985</w:t>
      </w:r>
      <w:proofErr w:type="gramStart"/>
      <w:r w:rsidRPr="006215A1">
        <w:rPr>
          <w:rFonts w:ascii="Times New Roman" w:eastAsia="Times New Roman" w:hAnsi="Times New Roman" w:cs="Times New Roman"/>
          <w:color w:val="000000"/>
          <w:sz w:val="24"/>
          <w:szCs w:val="24"/>
          <w:lang w:val="en-GB"/>
        </w:rPr>
        <w:t>;22:299</w:t>
      </w:r>
      <w:proofErr w:type="gramEnd"/>
      <w:r w:rsidRPr="006215A1">
        <w:rPr>
          <w:rFonts w:ascii="Times New Roman" w:eastAsia="Times New Roman" w:hAnsi="Times New Roman" w:cs="Times New Roman"/>
          <w:color w:val="000000"/>
          <w:sz w:val="24"/>
          <w:szCs w:val="24"/>
          <w:lang w:val="en-GB"/>
        </w:rPr>
        <w:t>-302.</w:t>
      </w:r>
    </w:p>
    <w:p w:rsidR="00616A85" w:rsidRPr="006215A1" w:rsidRDefault="00616A85" w:rsidP="00616A85">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Foster H, Fitzgerald J. Dental disease in children with chronic illness. Arch. Dis. Child. 2005</w:t>
      </w:r>
      <w:proofErr w:type="gramStart"/>
      <w:r w:rsidRPr="006215A1">
        <w:rPr>
          <w:rFonts w:ascii="Times New Roman" w:eastAsia="Times New Roman" w:hAnsi="Times New Roman" w:cs="Times New Roman"/>
          <w:color w:val="000000"/>
          <w:sz w:val="24"/>
          <w:szCs w:val="24"/>
          <w:lang w:val="en-GB"/>
        </w:rPr>
        <w:t>;90:703</w:t>
      </w:r>
      <w:proofErr w:type="gramEnd"/>
      <w:r w:rsidRPr="006215A1">
        <w:rPr>
          <w:rFonts w:ascii="Times New Roman" w:eastAsia="Times New Roman" w:hAnsi="Times New Roman" w:cs="Times New Roman"/>
          <w:color w:val="000000"/>
          <w:sz w:val="24"/>
          <w:szCs w:val="24"/>
          <w:lang w:val="en-GB"/>
        </w:rPr>
        <w:t>-708.</w:t>
      </w:r>
    </w:p>
    <w:p w:rsidR="00616A85" w:rsidRPr="006215A1" w:rsidRDefault="00616A85" w:rsidP="00616A85">
      <w:pPr>
        <w:numPr>
          <w:ilvl w:val="0"/>
          <w:numId w:val="1"/>
        </w:numPr>
        <w:spacing w:after="0" w:line="480" w:lineRule="auto"/>
        <w:contextualSpacing/>
        <w:jc w:val="both"/>
        <w:rPr>
          <w:rFonts w:ascii="Times New Roman" w:eastAsia="Times New Roman"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lastRenderedPageBreak/>
        <w:t>Evans D. Untreated decayed teeth and dental sepsis. Br. Dent. J. 2006</w:t>
      </w:r>
      <w:proofErr w:type="gramStart"/>
      <w:r w:rsidRPr="006215A1">
        <w:rPr>
          <w:rFonts w:ascii="Times New Roman" w:eastAsia="Times New Roman" w:hAnsi="Times New Roman" w:cs="Times New Roman"/>
          <w:color w:val="000000"/>
          <w:sz w:val="24"/>
          <w:szCs w:val="24"/>
          <w:lang w:val="en-GB"/>
        </w:rPr>
        <w:t>;200:45</w:t>
      </w:r>
      <w:proofErr w:type="gramEnd"/>
      <w:r w:rsidRPr="006215A1">
        <w:rPr>
          <w:rFonts w:ascii="Times New Roman" w:eastAsia="Times New Roman" w:hAnsi="Times New Roman" w:cs="Times New Roman"/>
          <w:color w:val="000000"/>
          <w:sz w:val="24"/>
          <w:szCs w:val="24"/>
          <w:lang w:val="en-GB"/>
        </w:rPr>
        <w:t>-47.</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 xml:space="preserve">Pine CM, Harris RV, Burnside G, </w:t>
      </w:r>
      <w:proofErr w:type="spellStart"/>
      <w:r w:rsidRPr="006215A1">
        <w:rPr>
          <w:rFonts w:ascii="Times New Roman" w:eastAsia="Times New Roman" w:hAnsi="Times New Roman" w:cs="Times New Roman"/>
          <w:color w:val="000000"/>
          <w:sz w:val="24"/>
          <w:szCs w:val="24"/>
          <w:lang w:val="en-GB"/>
        </w:rPr>
        <w:t>Merrett</w:t>
      </w:r>
      <w:proofErr w:type="spellEnd"/>
      <w:r w:rsidRPr="006215A1">
        <w:rPr>
          <w:rFonts w:ascii="Times New Roman" w:eastAsia="Times New Roman" w:hAnsi="Times New Roman" w:cs="Times New Roman"/>
          <w:color w:val="000000"/>
          <w:sz w:val="24"/>
          <w:szCs w:val="24"/>
          <w:lang w:val="en-GB"/>
        </w:rPr>
        <w:t xml:space="preserve"> MC. An investigation of the relationship between untreated decayed teeth and dental sepsis in 5-year-old children. Br. Dent. J. 2006</w:t>
      </w:r>
      <w:proofErr w:type="gramStart"/>
      <w:r w:rsidRPr="006215A1">
        <w:rPr>
          <w:rFonts w:ascii="Times New Roman" w:eastAsia="Times New Roman" w:hAnsi="Times New Roman" w:cs="Times New Roman"/>
          <w:color w:val="000000"/>
          <w:sz w:val="24"/>
          <w:szCs w:val="24"/>
          <w:lang w:val="en-GB"/>
        </w:rPr>
        <w:t>;200:45</w:t>
      </w:r>
      <w:proofErr w:type="gramEnd"/>
      <w:r w:rsidRPr="006215A1">
        <w:rPr>
          <w:rFonts w:ascii="Times New Roman" w:eastAsia="Times New Roman" w:hAnsi="Times New Roman" w:cs="Times New Roman"/>
          <w:color w:val="000000"/>
          <w:sz w:val="24"/>
          <w:szCs w:val="24"/>
          <w:lang w:val="en-GB"/>
        </w:rPr>
        <w:t>-47.</w:t>
      </w:r>
    </w:p>
    <w:p w:rsidR="00616A85" w:rsidRPr="006215A1" w:rsidRDefault="00616A85" w:rsidP="00616A85">
      <w:pPr>
        <w:numPr>
          <w:ilvl w:val="0"/>
          <w:numId w:val="1"/>
        </w:numPr>
        <w:spacing w:after="0" w:line="480" w:lineRule="auto"/>
        <w:ind w:right="-194"/>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Times New Roman" w:hAnsi="Times New Roman" w:cs="Times New Roman"/>
          <w:color w:val="000000"/>
          <w:sz w:val="24"/>
          <w:szCs w:val="24"/>
          <w:lang w:val="en-GB"/>
        </w:rPr>
        <w:t>Sandor</w:t>
      </w:r>
      <w:proofErr w:type="spellEnd"/>
      <w:r w:rsidRPr="006215A1">
        <w:rPr>
          <w:rFonts w:ascii="Times New Roman" w:eastAsia="Times New Roman" w:hAnsi="Times New Roman" w:cs="Times New Roman"/>
          <w:color w:val="000000"/>
          <w:sz w:val="24"/>
          <w:szCs w:val="24"/>
          <w:lang w:val="en-GB"/>
        </w:rPr>
        <w:t xml:space="preserve"> GK, Low DE, Judd PL, Davidson RJ. Antimicrobial treatment options in the management of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infections. J. Can. Dent. Assoc. 1998</w:t>
      </w:r>
      <w:proofErr w:type="gramStart"/>
      <w:r w:rsidRPr="006215A1">
        <w:rPr>
          <w:rFonts w:ascii="Times New Roman" w:eastAsia="Times New Roman" w:hAnsi="Times New Roman" w:cs="Times New Roman"/>
          <w:color w:val="000000"/>
          <w:sz w:val="24"/>
          <w:szCs w:val="24"/>
          <w:lang w:val="en-GB"/>
        </w:rPr>
        <w:t>;64:508</w:t>
      </w:r>
      <w:proofErr w:type="gramEnd"/>
      <w:r w:rsidRPr="006215A1">
        <w:rPr>
          <w:rFonts w:ascii="Times New Roman" w:eastAsia="Times New Roman" w:hAnsi="Times New Roman" w:cs="Times New Roman"/>
          <w:color w:val="000000"/>
          <w:sz w:val="24"/>
          <w:szCs w:val="24"/>
          <w:lang w:val="en-GB"/>
        </w:rPr>
        <w:t>-514.</w:t>
      </w:r>
    </w:p>
    <w:p w:rsidR="00616A85" w:rsidRPr="006215A1" w:rsidRDefault="00616A85" w:rsidP="00616A85">
      <w:pPr>
        <w:numPr>
          <w:ilvl w:val="0"/>
          <w:numId w:val="1"/>
        </w:numPr>
        <w:autoSpaceDE w:val="0"/>
        <w:autoSpaceDN w:val="0"/>
        <w:adjustRightInd w:val="0"/>
        <w:spacing w:after="240" w:line="480" w:lineRule="auto"/>
        <w:ind w:right="-194"/>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 xml:space="preserve">Nawaz KK. Management of Facial Space Infection in a 9-Year-Old Child - A Case Report. Int. J. of </w:t>
      </w:r>
      <w:proofErr w:type="spellStart"/>
      <w:r w:rsidRPr="006215A1">
        <w:rPr>
          <w:rFonts w:ascii="Times New Roman" w:eastAsia="Calibri" w:hAnsi="Times New Roman" w:cs="Times New Roman"/>
          <w:color w:val="000000"/>
          <w:sz w:val="24"/>
          <w:szCs w:val="24"/>
        </w:rPr>
        <w:t>Clin</w:t>
      </w:r>
      <w:proofErr w:type="spellEnd"/>
      <w:r w:rsidRPr="006215A1">
        <w:rPr>
          <w:rFonts w:ascii="Times New Roman" w:eastAsia="Calibri" w:hAnsi="Times New Roman" w:cs="Times New Roman"/>
          <w:color w:val="000000"/>
          <w:sz w:val="24"/>
          <w:szCs w:val="24"/>
        </w:rPr>
        <w:t xml:space="preserve">. Oral. </w:t>
      </w:r>
      <w:proofErr w:type="spellStart"/>
      <w:r w:rsidRPr="006215A1">
        <w:rPr>
          <w:rFonts w:ascii="Times New Roman" w:eastAsia="Calibri" w:hAnsi="Times New Roman" w:cs="Times New Roman"/>
          <w:color w:val="000000"/>
          <w:sz w:val="24"/>
          <w:szCs w:val="24"/>
        </w:rPr>
        <w:t>Maxillofac</w:t>
      </w:r>
      <w:proofErr w:type="spellEnd"/>
      <w:r w:rsidRPr="006215A1">
        <w:rPr>
          <w:rFonts w:ascii="Times New Roman" w:eastAsia="Calibri" w:hAnsi="Times New Roman" w:cs="Times New Roman"/>
          <w:color w:val="000000"/>
          <w:sz w:val="24"/>
          <w:szCs w:val="24"/>
        </w:rPr>
        <w:t>. Surg. 2016</w:t>
      </w:r>
      <w:proofErr w:type="gramStart"/>
      <w:r w:rsidRPr="006215A1">
        <w:rPr>
          <w:rFonts w:ascii="Times New Roman" w:eastAsia="Calibri" w:hAnsi="Times New Roman" w:cs="Times New Roman"/>
          <w:color w:val="000000"/>
          <w:sz w:val="24"/>
          <w:szCs w:val="24"/>
        </w:rPr>
        <w:t>;2:1</w:t>
      </w:r>
      <w:proofErr w:type="gramEnd"/>
      <w:r w:rsidRPr="006215A1">
        <w:rPr>
          <w:rFonts w:ascii="Times New Roman" w:eastAsia="Calibri" w:hAnsi="Times New Roman" w:cs="Times New Roman"/>
          <w:color w:val="000000"/>
          <w:sz w:val="24"/>
          <w:szCs w:val="24"/>
        </w:rPr>
        <w:t xml:space="preserve">-4. </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rPr>
        <w:t xml:space="preserve">Chow AW, </w:t>
      </w:r>
      <w:proofErr w:type="spellStart"/>
      <w:r w:rsidRPr="006215A1">
        <w:rPr>
          <w:rFonts w:ascii="Times New Roman" w:eastAsia="Times New Roman" w:hAnsi="Times New Roman" w:cs="Times New Roman"/>
          <w:color w:val="000000"/>
          <w:sz w:val="24"/>
          <w:szCs w:val="24"/>
          <w:lang w:val="en-GB"/>
        </w:rPr>
        <w:t>Roser</w:t>
      </w:r>
      <w:proofErr w:type="spellEnd"/>
      <w:r w:rsidRPr="006215A1">
        <w:rPr>
          <w:rFonts w:ascii="Times New Roman" w:eastAsia="Times New Roman" w:hAnsi="Times New Roman" w:cs="Times New Roman"/>
          <w:color w:val="000000"/>
          <w:sz w:val="24"/>
          <w:szCs w:val="24"/>
          <w:lang w:val="en-GB"/>
        </w:rPr>
        <w:t xml:space="preserve"> SM, Brady FA. </w:t>
      </w:r>
      <w:proofErr w:type="spellStart"/>
      <w:r w:rsidRPr="006215A1">
        <w:rPr>
          <w:rFonts w:ascii="Times New Roman" w:eastAsia="Times New Roman" w:hAnsi="Times New Roman" w:cs="Times New Roman"/>
          <w:color w:val="000000"/>
          <w:sz w:val="24"/>
          <w:szCs w:val="24"/>
          <w:lang w:val="en-GB"/>
        </w:rPr>
        <w:t>Orofacial</w:t>
      </w:r>
      <w:proofErr w:type="spellEnd"/>
      <w:r w:rsidRPr="006215A1">
        <w:rPr>
          <w:rFonts w:ascii="Times New Roman" w:eastAsia="Times New Roman" w:hAnsi="Times New Roman" w:cs="Times New Roman"/>
          <w:color w:val="000000"/>
          <w:sz w:val="24"/>
          <w:szCs w:val="24"/>
          <w:lang w:val="en-GB"/>
        </w:rPr>
        <w:t xml:space="preserve">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infections. Ann. Intern. Med. 1978</w:t>
      </w:r>
      <w:proofErr w:type="gramStart"/>
      <w:r w:rsidRPr="006215A1">
        <w:rPr>
          <w:rFonts w:ascii="Times New Roman" w:eastAsia="Times New Roman" w:hAnsi="Times New Roman" w:cs="Times New Roman"/>
          <w:color w:val="000000"/>
          <w:sz w:val="24"/>
          <w:szCs w:val="24"/>
          <w:lang w:val="en-GB"/>
        </w:rPr>
        <w:t>;88:392</w:t>
      </w:r>
      <w:proofErr w:type="gramEnd"/>
      <w:r w:rsidRPr="006215A1">
        <w:rPr>
          <w:rFonts w:ascii="Times New Roman" w:eastAsia="Times New Roman" w:hAnsi="Times New Roman" w:cs="Times New Roman"/>
          <w:color w:val="000000"/>
          <w:sz w:val="24"/>
          <w:szCs w:val="24"/>
          <w:lang w:val="en-GB"/>
        </w:rPr>
        <w:t>-402.</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proofErr w:type="spellStart"/>
      <w:r w:rsidRPr="006215A1">
        <w:rPr>
          <w:rFonts w:ascii="Times New Roman" w:eastAsia="Times New Roman" w:hAnsi="Times New Roman" w:cs="Times New Roman"/>
          <w:color w:val="000000"/>
          <w:sz w:val="24"/>
          <w:szCs w:val="24"/>
          <w:lang w:val="en-GB"/>
        </w:rPr>
        <w:t>Ehrenfeld</w:t>
      </w:r>
      <w:proofErr w:type="spellEnd"/>
      <w:r w:rsidRPr="006215A1">
        <w:rPr>
          <w:rFonts w:ascii="Times New Roman" w:eastAsia="Times New Roman" w:hAnsi="Times New Roman" w:cs="Times New Roman"/>
          <w:color w:val="000000"/>
          <w:sz w:val="24"/>
          <w:szCs w:val="24"/>
          <w:lang w:val="en-GB"/>
        </w:rPr>
        <w:t xml:space="preserve"> M. Clindamycin in the treatment of dental infections. In: Zambrano D, editor. Clindamycin in the Treatment of Human Infections. Upjohn Company; Kalamazoo, Michigan: 1992.</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proofErr w:type="spellStart"/>
      <w:r w:rsidRPr="006215A1">
        <w:rPr>
          <w:rFonts w:ascii="Times New Roman" w:eastAsia="Times New Roman" w:hAnsi="Times New Roman" w:cs="Times New Roman"/>
          <w:color w:val="000000"/>
          <w:sz w:val="24"/>
          <w:szCs w:val="24"/>
          <w:lang w:val="en-GB"/>
        </w:rPr>
        <w:t>Chunduri</w:t>
      </w:r>
      <w:proofErr w:type="spellEnd"/>
      <w:r w:rsidRPr="006215A1">
        <w:rPr>
          <w:rFonts w:ascii="Times New Roman" w:eastAsia="Times New Roman" w:hAnsi="Times New Roman" w:cs="Times New Roman"/>
          <w:color w:val="000000"/>
          <w:sz w:val="24"/>
          <w:szCs w:val="24"/>
          <w:lang w:val="en-GB"/>
        </w:rPr>
        <w:t xml:space="preserve"> NS, </w:t>
      </w:r>
      <w:proofErr w:type="spellStart"/>
      <w:r w:rsidRPr="006215A1">
        <w:rPr>
          <w:rFonts w:ascii="Times New Roman" w:eastAsia="Times New Roman" w:hAnsi="Times New Roman" w:cs="Times New Roman"/>
          <w:color w:val="000000"/>
          <w:sz w:val="24"/>
          <w:szCs w:val="24"/>
          <w:lang w:val="en-GB"/>
        </w:rPr>
        <w:t>Krishnaveni</w:t>
      </w:r>
      <w:proofErr w:type="spellEnd"/>
      <w:r w:rsidRPr="006215A1">
        <w:rPr>
          <w:rFonts w:ascii="Times New Roman" w:eastAsia="Times New Roman" w:hAnsi="Times New Roman" w:cs="Times New Roman"/>
          <w:color w:val="000000"/>
          <w:sz w:val="24"/>
          <w:szCs w:val="24"/>
          <w:lang w:val="en-GB"/>
        </w:rPr>
        <w:t xml:space="preserve"> M, </w:t>
      </w:r>
      <w:proofErr w:type="spellStart"/>
      <w:r w:rsidRPr="006215A1">
        <w:rPr>
          <w:rFonts w:ascii="Times New Roman" w:eastAsia="Times New Roman" w:hAnsi="Times New Roman" w:cs="Times New Roman"/>
          <w:color w:val="000000"/>
          <w:sz w:val="24"/>
          <w:szCs w:val="24"/>
          <w:lang w:val="en-GB"/>
        </w:rPr>
        <w:t>Venkateswara</w:t>
      </w:r>
      <w:proofErr w:type="spellEnd"/>
      <w:r w:rsidRPr="006215A1">
        <w:rPr>
          <w:rFonts w:ascii="Times New Roman" w:eastAsia="Times New Roman" w:hAnsi="Times New Roman" w:cs="Times New Roman"/>
          <w:color w:val="000000"/>
          <w:sz w:val="24"/>
          <w:szCs w:val="24"/>
          <w:lang w:val="en-GB"/>
        </w:rPr>
        <w:t xml:space="preserve"> RG, </w:t>
      </w:r>
      <w:proofErr w:type="spellStart"/>
      <w:r w:rsidRPr="006215A1">
        <w:rPr>
          <w:rFonts w:ascii="Times New Roman" w:eastAsia="Times New Roman" w:hAnsi="Times New Roman" w:cs="Times New Roman"/>
          <w:color w:val="000000"/>
          <w:sz w:val="24"/>
          <w:szCs w:val="24"/>
          <w:lang w:val="en-GB"/>
        </w:rPr>
        <w:t>Tanveer</w:t>
      </w:r>
      <w:proofErr w:type="spellEnd"/>
      <w:r w:rsidRPr="006215A1">
        <w:rPr>
          <w:rFonts w:ascii="Times New Roman" w:eastAsia="Times New Roman" w:hAnsi="Times New Roman" w:cs="Times New Roman"/>
          <w:color w:val="000000"/>
          <w:sz w:val="24"/>
          <w:szCs w:val="24"/>
          <w:lang w:val="en-GB"/>
        </w:rPr>
        <w:t xml:space="preserve"> K, </w:t>
      </w:r>
      <w:proofErr w:type="spellStart"/>
      <w:r w:rsidRPr="006215A1">
        <w:rPr>
          <w:rFonts w:ascii="Times New Roman" w:eastAsia="Times New Roman" w:hAnsi="Times New Roman" w:cs="Times New Roman"/>
          <w:color w:val="000000"/>
          <w:sz w:val="24"/>
          <w:szCs w:val="24"/>
          <w:lang w:val="en-GB"/>
        </w:rPr>
        <w:t>Haranadha</w:t>
      </w:r>
      <w:proofErr w:type="spellEnd"/>
      <w:r w:rsidRPr="006215A1">
        <w:rPr>
          <w:rFonts w:ascii="Times New Roman" w:eastAsia="Times New Roman" w:hAnsi="Times New Roman" w:cs="Times New Roman"/>
          <w:color w:val="000000"/>
          <w:sz w:val="24"/>
          <w:szCs w:val="24"/>
          <w:lang w:val="en-GB"/>
        </w:rPr>
        <w:t xml:space="preserve"> R. Evaluation of bacterial spectrum of </w:t>
      </w:r>
      <w:proofErr w:type="spellStart"/>
      <w:r w:rsidRPr="006215A1">
        <w:rPr>
          <w:rFonts w:ascii="Times New Roman" w:eastAsia="Times New Roman" w:hAnsi="Times New Roman" w:cs="Times New Roman"/>
          <w:color w:val="000000"/>
          <w:sz w:val="24"/>
          <w:szCs w:val="24"/>
          <w:lang w:val="en-GB"/>
        </w:rPr>
        <w:t>orofacial</w:t>
      </w:r>
      <w:proofErr w:type="spellEnd"/>
      <w:r w:rsidRPr="006215A1">
        <w:rPr>
          <w:rFonts w:ascii="Times New Roman" w:eastAsia="Times New Roman" w:hAnsi="Times New Roman" w:cs="Times New Roman"/>
          <w:color w:val="000000"/>
          <w:sz w:val="24"/>
          <w:szCs w:val="24"/>
          <w:lang w:val="en-GB"/>
        </w:rPr>
        <w:t xml:space="preserve"> infections and their antibiotic susceptibility. Ann. </w:t>
      </w:r>
      <w:proofErr w:type="spellStart"/>
      <w:r w:rsidRPr="006215A1">
        <w:rPr>
          <w:rFonts w:ascii="Times New Roman" w:eastAsia="Times New Roman" w:hAnsi="Times New Roman" w:cs="Times New Roman"/>
          <w:color w:val="000000"/>
          <w:sz w:val="24"/>
          <w:szCs w:val="24"/>
          <w:lang w:val="en-GB"/>
        </w:rPr>
        <w:t>Maxillofac</w:t>
      </w:r>
      <w:proofErr w:type="spellEnd"/>
      <w:r w:rsidRPr="006215A1">
        <w:rPr>
          <w:rFonts w:ascii="Times New Roman" w:eastAsia="Times New Roman" w:hAnsi="Times New Roman" w:cs="Times New Roman"/>
          <w:color w:val="000000"/>
          <w:sz w:val="24"/>
          <w:szCs w:val="24"/>
          <w:lang w:val="en-GB"/>
        </w:rPr>
        <w:t>. Surg. 2012</w:t>
      </w:r>
      <w:proofErr w:type="gramStart"/>
      <w:r w:rsidRPr="006215A1">
        <w:rPr>
          <w:rFonts w:ascii="Times New Roman" w:eastAsia="Times New Roman" w:hAnsi="Times New Roman" w:cs="Times New Roman"/>
          <w:color w:val="000000"/>
          <w:sz w:val="24"/>
          <w:szCs w:val="24"/>
          <w:lang w:val="en-GB"/>
        </w:rPr>
        <w:t>;2:46</w:t>
      </w:r>
      <w:proofErr w:type="gramEnd"/>
      <w:r w:rsidRPr="006215A1">
        <w:rPr>
          <w:rFonts w:ascii="Times New Roman" w:eastAsia="Times New Roman" w:hAnsi="Times New Roman" w:cs="Times New Roman"/>
          <w:color w:val="000000"/>
          <w:sz w:val="24"/>
          <w:szCs w:val="24"/>
          <w:lang w:val="en-GB"/>
        </w:rPr>
        <w:t>-50.</w:t>
      </w:r>
    </w:p>
    <w:p w:rsidR="00616A85" w:rsidRPr="006215A1" w:rsidRDefault="00616A85" w:rsidP="00616A85">
      <w:pPr>
        <w:numPr>
          <w:ilvl w:val="0"/>
          <w:numId w:val="1"/>
        </w:numPr>
        <w:autoSpaceDE w:val="0"/>
        <w:autoSpaceDN w:val="0"/>
        <w:adjustRightInd w:val="0"/>
        <w:spacing w:after="240" w:line="480" w:lineRule="auto"/>
        <w:contextualSpacing/>
        <w:jc w:val="both"/>
        <w:rPr>
          <w:rFonts w:ascii="Times New Roman" w:eastAsia="Calibri" w:hAnsi="Times New Roman" w:cs="Times New Roman"/>
          <w:color w:val="000000"/>
          <w:sz w:val="24"/>
          <w:szCs w:val="24"/>
        </w:rPr>
      </w:pPr>
      <w:proofErr w:type="spellStart"/>
      <w:r w:rsidRPr="006215A1">
        <w:rPr>
          <w:rFonts w:ascii="Times New Roman" w:eastAsia="Calibri" w:hAnsi="Times New Roman" w:cs="Times New Roman"/>
          <w:color w:val="000000"/>
          <w:sz w:val="24"/>
          <w:szCs w:val="24"/>
        </w:rPr>
        <w:t>Omeje</w:t>
      </w:r>
      <w:proofErr w:type="spellEnd"/>
      <w:r w:rsidRPr="006215A1">
        <w:rPr>
          <w:rFonts w:ascii="Times New Roman" w:eastAsia="Calibri" w:hAnsi="Times New Roman" w:cs="Times New Roman"/>
          <w:color w:val="000000"/>
          <w:sz w:val="24"/>
          <w:szCs w:val="24"/>
        </w:rPr>
        <w:t xml:space="preserve"> KU,  Amole IO, </w:t>
      </w:r>
      <w:proofErr w:type="spellStart"/>
      <w:r w:rsidRPr="006215A1">
        <w:rPr>
          <w:rFonts w:ascii="Times New Roman" w:eastAsia="Calibri" w:hAnsi="Times New Roman" w:cs="Times New Roman"/>
          <w:color w:val="000000"/>
          <w:sz w:val="24"/>
          <w:szCs w:val="24"/>
        </w:rPr>
        <w:t>Efunkoya</w:t>
      </w:r>
      <w:proofErr w:type="spellEnd"/>
      <w:r w:rsidRPr="006215A1">
        <w:rPr>
          <w:rFonts w:ascii="Times New Roman" w:eastAsia="Calibri" w:hAnsi="Times New Roman" w:cs="Times New Roman"/>
          <w:color w:val="000000"/>
          <w:sz w:val="24"/>
          <w:szCs w:val="24"/>
        </w:rPr>
        <w:t xml:space="preserve"> A </w:t>
      </w:r>
      <w:proofErr w:type="spellStart"/>
      <w:r w:rsidRPr="006215A1">
        <w:rPr>
          <w:rFonts w:ascii="Times New Roman" w:eastAsia="Calibri" w:hAnsi="Times New Roman" w:cs="Times New Roman"/>
          <w:color w:val="000000"/>
          <w:sz w:val="24"/>
          <w:szCs w:val="24"/>
        </w:rPr>
        <w:t>A</w:t>
      </w:r>
      <w:proofErr w:type="spellEnd"/>
      <w:r w:rsidRPr="006215A1">
        <w:rPr>
          <w:rFonts w:ascii="Times New Roman" w:eastAsia="Calibri" w:hAnsi="Times New Roman" w:cs="Times New Roman"/>
          <w:color w:val="000000"/>
          <w:sz w:val="24"/>
          <w:szCs w:val="24"/>
        </w:rPr>
        <w:t xml:space="preserve">, </w:t>
      </w:r>
      <w:proofErr w:type="spellStart"/>
      <w:r w:rsidRPr="006215A1">
        <w:rPr>
          <w:rFonts w:ascii="Times New Roman" w:eastAsia="Calibri" w:hAnsi="Times New Roman" w:cs="Times New Roman"/>
          <w:color w:val="000000"/>
          <w:sz w:val="24"/>
          <w:szCs w:val="24"/>
        </w:rPr>
        <w:t>Agbara</w:t>
      </w:r>
      <w:proofErr w:type="spellEnd"/>
      <w:r w:rsidRPr="006215A1">
        <w:rPr>
          <w:rFonts w:ascii="Times New Roman" w:eastAsia="Calibri" w:hAnsi="Times New Roman" w:cs="Times New Roman"/>
          <w:color w:val="000000"/>
          <w:sz w:val="24"/>
          <w:szCs w:val="24"/>
        </w:rPr>
        <w:t xml:space="preserve"> R, </w:t>
      </w:r>
      <w:proofErr w:type="spellStart"/>
      <w:r w:rsidRPr="006215A1">
        <w:rPr>
          <w:rFonts w:ascii="Times New Roman" w:eastAsia="Calibri" w:hAnsi="Times New Roman" w:cs="Times New Roman"/>
          <w:color w:val="000000"/>
          <w:sz w:val="24"/>
          <w:szCs w:val="24"/>
        </w:rPr>
        <w:t>Adesina</w:t>
      </w:r>
      <w:proofErr w:type="spellEnd"/>
      <w:r w:rsidRPr="006215A1">
        <w:rPr>
          <w:rFonts w:ascii="Times New Roman" w:eastAsia="Calibri" w:hAnsi="Times New Roman" w:cs="Times New Roman"/>
          <w:color w:val="000000"/>
          <w:sz w:val="24"/>
          <w:szCs w:val="24"/>
        </w:rPr>
        <w:t xml:space="preserve"> O A,  </w:t>
      </w:r>
      <w:proofErr w:type="spellStart"/>
      <w:r w:rsidRPr="006215A1">
        <w:rPr>
          <w:rFonts w:ascii="Times New Roman" w:eastAsia="Calibri" w:hAnsi="Times New Roman" w:cs="Times New Roman"/>
          <w:color w:val="000000"/>
          <w:sz w:val="24"/>
          <w:szCs w:val="24"/>
        </w:rPr>
        <w:t>Jameel</w:t>
      </w:r>
      <w:proofErr w:type="spellEnd"/>
      <w:r w:rsidRPr="006215A1">
        <w:rPr>
          <w:rFonts w:ascii="Times New Roman" w:eastAsia="Calibri" w:hAnsi="Times New Roman" w:cs="Times New Roman"/>
          <w:color w:val="000000"/>
          <w:sz w:val="24"/>
          <w:szCs w:val="24"/>
        </w:rPr>
        <w:t xml:space="preserve"> I. A revisit of oral and maxillofacial mortality from </w:t>
      </w:r>
      <w:proofErr w:type="spellStart"/>
      <w:r w:rsidRPr="006215A1">
        <w:rPr>
          <w:rFonts w:ascii="Times New Roman" w:eastAsia="Calibri" w:hAnsi="Times New Roman" w:cs="Times New Roman"/>
          <w:color w:val="000000"/>
          <w:sz w:val="24"/>
          <w:szCs w:val="24"/>
        </w:rPr>
        <w:t>orofacial</w:t>
      </w:r>
      <w:proofErr w:type="spellEnd"/>
      <w:r w:rsidRPr="006215A1">
        <w:rPr>
          <w:rFonts w:ascii="Times New Roman" w:eastAsia="Calibri" w:hAnsi="Times New Roman" w:cs="Times New Roman"/>
          <w:color w:val="000000"/>
          <w:sz w:val="24"/>
          <w:szCs w:val="24"/>
        </w:rPr>
        <w:t xml:space="preserve"> infections in a resource limited setting: is there a need for a change in management protocol</w:t>
      </w:r>
      <w:proofErr w:type="gramStart"/>
      <w:r w:rsidRPr="006215A1">
        <w:rPr>
          <w:rFonts w:ascii="Times New Roman" w:eastAsia="Calibri" w:hAnsi="Times New Roman" w:cs="Times New Roman"/>
          <w:color w:val="000000"/>
          <w:sz w:val="24"/>
          <w:szCs w:val="24"/>
        </w:rPr>
        <w:t>?</w:t>
      </w:r>
      <w:r w:rsidRPr="006215A1">
        <w:rPr>
          <w:rFonts w:ascii="MS Mincho" w:eastAsia="MS Mincho" w:hAnsi="MS Mincho" w:cs="MS Mincho" w:hint="eastAsia"/>
          <w:color w:val="000000"/>
          <w:sz w:val="24"/>
          <w:szCs w:val="24"/>
        </w:rPr>
        <w:t> </w:t>
      </w:r>
      <w:proofErr w:type="gramEnd"/>
      <w:r w:rsidRPr="006215A1">
        <w:rPr>
          <w:rFonts w:ascii="Times New Roman" w:eastAsia="Calibri" w:hAnsi="Times New Roman" w:cs="Times New Roman"/>
          <w:color w:val="000000"/>
          <w:sz w:val="24"/>
          <w:szCs w:val="24"/>
        </w:rPr>
        <w:t xml:space="preserve"> East African Medical Journal  2017;94:499-502. </w:t>
      </w:r>
    </w:p>
    <w:p w:rsidR="00616A85" w:rsidRPr="006215A1" w:rsidRDefault="00616A85" w:rsidP="00616A85">
      <w:pPr>
        <w:numPr>
          <w:ilvl w:val="0"/>
          <w:numId w:val="1"/>
        </w:numPr>
        <w:autoSpaceDE w:val="0"/>
        <w:autoSpaceDN w:val="0"/>
        <w:adjustRightInd w:val="0"/>
        <w:spacing w:after="240" w:line="480" w:lineRule="auto"/>
        <w:contextualSpacing/>
        <w:jc w:val="both"/>
        <w:rPr>
          <w:rFonts w:ascii="Times New Roman" w:eastAsia="Calibri" w:hAnsi="Times New Roman" w:cs="Times New Roman"/>
          <w:color w:val="000000"/>
          <w:sz w:val="24"/>
          <w:szCs w:val="24"/>
        </w:rPr>
      </w:pPr>
      <w:proofErr w:type="spellStart"/>
      <w:r w:rsidRPr="006215A1">
        <w:rPr>
          <w:rFonts w:ascii="Times New Roman" w:eastAsia="Times New Roman" w:hAnsi="Times New Roman" w:cs="Times New Roman"/>
          <w:color w:val="000000"/>
          <w:sz w:val="24"/>
          <w:szCs w:val="24"/>
          <w:lang w:val="en-GB"/>
        </w:rPr>
        <w:t>Gendron</w:t>
      </w:r>
      <w:proofErr w:type="spellEnd"/>
      <w:r w:rsidRPr="006215A1">
        <w:rPr>
          <w:rFonts w:ascii="Times New Roman" w:eastAsia="Times New Roman" w:hAnsi="Times New Roman" w:cs="Times New Roman"/>
          <w:color w:val="000000"/>
          <w:sz w:val="24"/>
          <w:szCs w:val="24"/>
          <w:lang w:val="en-GB"/>
        </w:rPr>
        <w:t xml:space="preserve"> R, </w:t>
      </w:r>
      <w:proofErr w:type="spellStart"/>
      <w:r w:rsidRPr="006215A1">
        <w:rPr>
          <w:rFonts w:ascii="Times New Roman" w:eastAsia="Times New Roman" w:hAnsi="Times New Roman" w:cs="Times New Roman"/>
          <w:color w:val="000000"/>
          <w:sz w:val="24"/>
          <w:szCs w:val="24"/>
          <w:lang w:val="en-GB"/>
        </w:rPr>
        <w:t>Grenier</w:t>
      </w:r>
      <w:proofErr w:type="spellEnd"/>
      <w:r w:rsidRPr="006215A1">
        <w:rPr>
          <w:rFonts w:ascii="Times New Roman" w:eastAsia="Times New Roman" w:hAnsi="Times New Roman" w:cs="Times New Roman"/>
          <w:color w:val="000000"/>
          <w:sz w:val="24"/>
          <w:szCs w:val="24"/>
          <w:lang w:val="en-GB"/>
        </w:rPr>
        <w:t xml:space="preserve"> D, </w:t>
      </w:r>
      <w:proofErr w:type="spellStart"/>
      <w:r w:rsidRPr="006215A1">
        <w:rPr>
          <w:rFonts w:ascii="Times New Roman" w:eastAsia="Times New Roman" w:hAnsi="Times New Roman" w:cs="Times New Roman"/>
          <w:color w:val="000000"/>
          <w:sz w:val="24"/>
          <w:szCs w:val="24"/>
          <w:lang w:val="en-GB"/>
        </w:rPr>
        <w:t>Maheu</w:t>
      </w:r>
      <w:proofErr w:type="spellEnd"/>
      <w:r w:rsidRPr="006215A1">
        <w:rPr>
          <w:rFonts w:ascii="Times New Roman" w:eastAsia="Times New Roman" w:hAnsi="Times New Roman" w:cs="Times New Roman"/>
          <w:color w:val="000000"/>
          <w:sz w:val="24"/>
          <w:szCs w:val="24"/>
          <w:lang w:val="en-GB"/>
        </w:rPr>
        <w:t>-Robert L. The oral cavity as a reservoir of bacterial pathogens for focal infections. Microbes Infect. 2000</w:t>
      </w:r>
      <w:proofErr w:type="gramStart"/>
      <w:r w:rsidRPr="006215A1">
        <w:rPr>
          <w:rFonts w:ascii="Times New Roman" w:eastAsia="Times New Roman" w:hAnsi="Times New Roman" w:cs="Times New Roman"/>
          <w:color w:val="000000"/>
          <w:sz w:val="24"/>
          <w:szCs w:val="24"/>
          <w:lang w:val="en-GB"/>
        </w:rPr>
        <w:t>;2:897</w:t>
      </w:r>
      <w:proofErr w:type="gramEnd"/>
      <w:r w:rsidRPr="006215A1">
        <w:rPr>
          <w:rFonts w:ascii="Times New Roman" w:eastAsia="Times New Roman" w:hAnsi="Times New Roman" w:cs="Times New Roman"/>
          <w:color w:val="000000"/>
          <w:sz w:val="24"/>
          <w:szCs w:val="24"/>
          <w:lang w:val="en-GB"/>
        </w:rPr>
        <w:t xml:space="preserve">-906. </w:t>
      </w:r>
      <w:r w:rsidRPr="006215A1">
        <w:rPr>
          <w:rFonts w:ascii="Times New Roman" w:eastAsia="Calibri" w:hAnsi="Times New Roman" w:cs="Times New Roman"/>
          <w:color w:val="000000"/>
          <w:sz w:val="24"/>
          <w:szCs w:val="24"/>
        </w:rPr>
        <w:t xml:space="preserve"> </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t xml:space="preserve">Li X, </w:t>
      </w:r>
      <w:proofErr w:type="spellStart"/>
      <w:r w:rsidRPr="006215A1">
        <w:rPr>
          <w:rFonts w:ascii="Times New Roman" w:eastAsia="Times New Roman" w:hAnsi="Times New Roman" w:cs="Times New Roman"/>
          <w:color w:val="000000"/>
          <w:sz w:val="24"/>
          <w:szCs w:val="24"/>
          <w:lang w:val="en-GB"/>
        </w:rPr>
        <w:t>Kolltveit</w:t>
      </w:r>
      <w:proofErr w:type="spellEnd"/>
      <w:r w:rsidRPr="006215A1">
        <w:rPr>
          <w:rFonts w:ascii="Times New Roman" w:eastAsia="Times New Roman" w:hAnsi="Times New Roman" w:cs="Times New Roman"/>
          <w:color w:val="000000"/>
          <w:sz w:val="24"/>
          <w:szCs w:val="24"/>
          <w:lang w:val="en-GB"/>
        </w:rPr>
        <w:t xml:space="preserve"> KM, </w:t>
      </w:r>
      <w:proofErr w:type="spellStart"/>
      <w:r w:rsidRPr="006215A1">
        <w:rPr>
          <w:rFonts w:ascii="Times New Roman" w:eastAsia="Times New Roman" w:hAnsi="Times New Roman" w:cs="Times New Roman"/>
          <w:color w:val="000000"/>
          <w:sz w:val="24"/>
          <w:szCs w:val="24"/>
          <w:lang w:val="en-GB"/>
        </w:rPr>
        <w:t>Tronstad</w:t>
      </w:r>
      <w:proofErr w:type="spellEnd"/>
      <w:r w:rsidRPr="006215A1">
        <w:rPr>
          <w:rFonts w:ascii="Times New Roman" w:eastAsia="Times New Roman" w:hAnsi="Times New Roman" w:cs="Times New Roman"/>
          <w:color w:val="000000"/>
          <w:sz w:val="24"/>
          <w:szCs w:val="24"/>
          <w:lang w:val="en-GB"/>
        </w:rPr>
        <w:t xml:space="preserve"> L, Olsen I. Systemic diseases caused by oral infection. </w:t>
      </w:r>
      <w:proofErr w:type="spellStart"/>
      <w:r w:rsidRPr="006215A1">
        <w:rPr>
          <w:rFonts w:ascii="Times New Roman" w:eastAsia="Times New Roman" w:hAnsi="Times New Roman" w:cs="Times New Roman"/>
          <w:color w:val="000000"/>
          <w:sz w:val="24"/>
          <w:szCs w:val="24"/>
          <w:lang w:val="en-GB"/>
        </w:rPr>
        <w:t>Clin</w:t>
      </w:r>
      <w:proofErr w:type="spellEnd"/>
      <w:r w:rsidRPr="006215A1">
        <w:rPr>
          <w:rFonts w:ascii="Times New Roman" w:eastAsia="Times New Roman" w:hAnsi="Times New Roman" w:cs="Times New Roman"/>
          <w:color w:val="000000"/>
          <w:sz w:val="24"/>
          <w:szCs w:val="24"/>
          <w:lang w:val="en-GB"/>
        </w:rPr>
        <w:t xml:space="preserve">. </w:t>
      </w:r>
      <w:proofErr w:type="spellStart"/>
      <w:r w:rsidRPr="006215A1">
        <w:rPr>
          <w:rFonts w:ascii="Times New Roman" w:eastAsia="Times New Roman" w:hAnsi="Times New Roman" w:cs="Times New Roman"/>
          <w:color w:val="000000"/>
          <w:sz w:val="24"/>
          <w:szCs w:val="24"/>
          <w:lang w:val="en-GB"/>
        </w:rPr>
        <w:t>Microbiol</w:t>
      </w:r>
      <w:proofErr w:type="spellEnd"/>
      <w:r w:rsidRPr="006215A1">
        <w:rPr>
          <w:rFonts w:ascii="Times New Roman" w:eastAsia="Times New Roman" w:hAnsi="Times New Roman" w:cs="Times New Roman"/>
          <w:color w:val="000000"/>
          <w:sz w:val="24"/>
          <w:szCs w:val="24"/>
          <w:lang w:val="en-GB"/>
        </w:rPr>
        <w:t>. Rev. 2000</w:t>
      </w:r>
      <w:proofErr w:type="gramStart"/>
      <w:r w:rsidRPr="006215A1">
        <w:rPr>
          <w:rFonts w:ascii="Times New Roman" w:eastAsia="Times New Roman" w:hAnsi="Times New Roman" w:cs="Times New Roman"/>
          <w:color w:val="000000"/>
          <w:sz w:val="24"/>
          <w:szCs w:val="24"/>
          <w:lang w:val="en-GB"/>
        </w:rPr>
        <w:t>;13:547</w:t>
      </w:r>
      <w:proofErr w:type="gramEnd"/>
      <w:r w:rsidRPr="006215A1">
        <w:rPr>
          <w:rFonts w:ascii="Times New Roman" w:eastAsia="Times New Roman" w:hAnsi="Times New Roman" w:cs="Times New Roman"/>
          <w:color w:val="000000"/>
          <w:sz w:val="24"/>
          <w:szCs w:val="24"/>
          <w:lang w:val="en-GB"/>
        </w:rPr>
        <w:t>-558.</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Calibri" w:hAnsi="Times New Roman" w:cs="Times New Roman"/>
          <w:color w:val="000000"/>
          <w:sz w:val="24"/>
          <w:szCs w:val="24"/>
        </w:rPr>
        <w:lastRenderedPageBreak/>
        <w:t>Aqunila</w:t>
      </w:r>
      <w:proofErr w:type="spellEnd"/>
      <w:r w:rsidRPr="006215A1">
        <w:rPr>
          <w:rFonts w:ascii="Times New Roman" w:eastAsia="Calibri" w:hAnsi="Times New Roman" w:cs="Times New Roman"/>
          <w:color w:val="000000"/>
          <w:sz w:val="24"/>
          <w:szCs w:val="24"/>
        </w:rPr>
        <w:t xml:space="preserve"> PJ, </w:t>
      </w:r>
      <w:proofErr w:type="spellStart"/>
      <w:r w:rsidRPr="006215A1">
        <w:rPr>
          <w:rFonts w:ascii="Times New Roman" w:eastAsia="Calibri" w:hAnsi="Times New Roman" w:cs="Times New Roman"/>
          <w:color w:val="000000"/>
          <w:sz w:val="24"/>
          <w:szCs w:val="24"/>
        </w:rPr>
        <w:t>Lynham</w:t>
      </w:r>
      <w:proofErr w:type="spellEnd"/>
      <w:r w:rsidRPr="006215A1">
        <w:rPr>
          <w:rFonts w:ascii="Times New Roman" w:eastAsia="Calibri" w:hAnsi="Times New Roman" w:cs="Times New Roman"/>
          <w:color w:val="000000"/>
          <w:sz w:val="24"/>
          <w:szCs w:val="24"/>
        </w:rPr>
        <w:t xml:space="preserve"> A. Serious </w:t>
      </w:r>
      <w:proofErr w:type="spellStart"/>
      <w:r w:rsidRPr="006215A1">
        <w:rPr>
          <w:rFonts w:ascii="Times New Roman" w:eastAsia="Calibri" w:hAnsi="Times New Roman" w:cs="Times New Roman"/>
          <w:color w:val="000000"/>
          <w:sz w:val="24"/>
          <w:szCs w:val="24"/>
        </w:rPr>
        <w:t>sequalae</w:t>
      </w:r>
      <w:proofErr w:type="spellEnd"/>
      <w:r w:rsidRPr="006215A1">
        <w:rPr>
          <w:rFonts w:ascii="Times New Roman" w:eastAsia="Calibri" w:hAnsi="Times New Roman" w:cs="Times New Roman"/>
          <w:color w:val="000000"/>
          <w:sz w:val="24"/>
          <w:szCs w:val="24"/>
        </w:rPr>
        <w:t xml:space="preserve"> of maxillofacial infections. Med J </w:t>
      </w:r>
      <w:proofErr w:type="spellStart"/>
      <w:r w:rsidRPr="006215A1">
        <w:rPr>
          <w:rFonts w:ascii="Times New Roman" w:eastAsia="Calibri" w:hAnsi="Times New Roman" w:cs="Times New Roman"/>
          <w:color w:val="000000"/>
          <w:sz w:val="24"/>
          <w:szCs w:val="24"/>
        </w:rPr>
        <w:t>Aust</w:t>
      </w:r>
      <w:proofErr w:type="spellEnd"/>
      <w:r w:rsidRPr="006215A1">
        <w:rPr>
          <w:rFonts w:ascii="Times New Roman" w:eastAsia="Calibri" w:hAnsi="Times New Roman" w:cs="Times New Roman"/>
          <w:color w:val="000000"/>
          <w:sz w:val="24"/>
          <w:szCs w:val="24"/>
        </w:rPr>
        <w:t xml:space="preserve"> 2003</w:t>
      </w:r>
      <w:proofErr w:type="gramStart"/>
      <w:r w:rsidRPr="006215A1">
        <w:rPr>
          <w:rFonts w:ascii="Times New Roman" w:eastAsia="Calibri" w:hAnsi="Times New Roman" w:cs="Times New Roman"/>
          <w:color w:val="000000"/>
          <w:sz w:val="24"/>
          <w:szCs w:val="24"/>
        </w:rPr>
        <w:t>;179:551</w:t>
      </w:r>
      <w:proofErr w:type="gramEnd"/>
      <w:r w:rsidRPr="006215A1">
        <w:rPr>
          <w:rFonts w:ascii="Times New Roman" w:eastAsia="Calibri" w:hAnsi="Times New Roman" w:cs="Times New Roman"/>
          <w:color w:val="000000"/>
          <w:sz w:val="24"/>
          <w:szCs w:val="24"/>
        </w:rPr>
        <w:t>-552.</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proofErr w:type="spellStart"/>
      <w:r w:rsidRPr="006215A1">
        <w:rPr>
          <w:rFonts w:ascii="Times New Roman" w:eastAsia="Times New Roman" w:hAnsi="Times New Roman" w:cs="Times New Roman"/>
          <w:color w:val="000000"/>
          <w:sz w:val="24"/>
          <w:szCs w:val="24"/>
          <w:lang w:val="en-GB" w:eastAsia="en-GB"/>
        </w:rPr>
        <w:t>Brotherton</w:t>
      </w:r>
      <w:proofErr w:type="spellEnd"/>
      <w:r w:rsidRPr="006215A1">
        <w:rPr>
          <w:rFonts w:ascii="Times New Roman" w:eastAsia="Times New Roman" w:hAnsi="Times New Roman" w:cs="Times New Roman"/>
          <w:color w:val="000000"/>
          <w:sz w:val="24"/>
          <w:szCs w:val="24"/>
          <w:lang w:val="en-GB" w:eastAsia="en-GB"/>
        </w:rPr>
        <w:t xml:space="preserve"> H, Templeton K, </w:t>
      </w:r>
      <w:proofErr w:type="spellStart"/>
      <w:proofErr w:type="gramStart"/>
      <w:r w:rsidRPr="006215A1">
        <w:rPr>
          <w:rFonts w:ascii="Times New Roman" w:eastAsia="Times New Roman" w:hAnsi="Times New Roman" w:cs="Times New Roman"/>
          <w:color w:val="000000"/>
          <w:sz w:val="24"/>
          <w:szCs w:val="24"/>
          <w:lang w:val="en-GB" w:eastAsia="en-GB"/>
        </w:rPr>
        <w:t>Rowney</w:t>
      </w:r>
      <w:proofErr w:type="spellEnd"/>
      <w:proofErr w:type="gramEnd"/>
      <w:r w:rsidRPr="006215A1">
        <w:rPr>
          <w:rFonts w:ascii="Times New Roman" w:eastAsia="Times New Roman" w:hAnsi="Times New Roman" w:cs="Times New Roman"/>
          <w:color w:val="000000"/>
          <w:sz w:val="24"/>
          <w:szCs w:val="24"/>
          <w:lang w:val="en-GB" w:eastAsia="en-GB"/>
        </w:rPr>
        <w:t xml:space="preserve"> DA, Montague ML. Ludwig’s </w:t>
      </w:r>
      <w:proofErr w:type="spellStart"/>
      <w:r w:rsidRPr="006215A1">
        <w:rPr>
          <w:rFonts w:ascii="Times New Roman" w:eastAsia="Times New Roman" w:hAnsi="Times New Roman" w:cs="Times New Roman"/>
          <w:color w:val="000000"/>
          <w:sz w:val="24"/>
          <w:szCs w:val="24"/>
          <w:lang w:val="en-GB" w:eastAsia="en-GB"/>
        </w:rPr>
        <w:t>agina</w:t>
      </w:r>
      <w:proofErr w:type="spellEnd"/>
      <w:r w:rsidRPr="006215A1">
        <w:rPr>
          <w:rFonts w:ascii="Times New Roman" w:eastAsia="Times New Roman" w:hAnsi="Times New Roman" w:cs="Times New Roman"/>
          <w:color w:val="000000"/>
          <w:sz w:val="24"/>
          <w:szCs w:val="24"/>
          <w:lang w:val="en-GB" w:eastAsia="en-GB"/>
        </w:rPr>
        <w:t>: Case report and literature review. Intern Med 2014</w:t>
      </w:r>
      <w:proofErr w:type="gramStart"/>
      <w:r w:rsidRPr="006215A1">
        <w:rPr>
          <w:rFonts w:ascii="Times New Roman" w:eastAsia="Times New Roman" w:hAnsi="Times New Roman" w:cs="Times New Roman"/>
          <w:color w:val="000000"/>
          <w:sz w:val="24"/>
          <w:szCs w:val="24"/>
          <w:lang w:val="en-GB" w:eastAsia="en-GB"/>
        </w:rPr>
        <w:t>;4:1</w:t>
      </w:r>
      <w:proofErr w:type="gramEnd"/>
      <w:r w:rsidRPr="006215A1">
        <w:rPr>
          <w:rFonts w:ascii="Times New Roman" w:eastAsia="Times New Roman" w:hAnsi="Times New Roman" w:cs="Times New Roman"/>
          <w:color w:val="000000"/>
          <w:sz w:val="24"/>
          <w:szCs w:val="24"/>
          <w:lang w:val="en-GB" w:eastAsia="en-GB"/>
        </w:rPr>
        <w:t>-5.</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Calibri" w:hAnsi="Times New Roman" w:cs="Times New Roman"/>
          <w:color w:val="000000"/>
          <w:sz w:val="24"/>
          <w:szCs w:val="24"/>
          <w:lang w:val="en-GB"/>
        </w:rPr>
        <w:t>Osunde</w:t>
      </w:r>
      <w:proofErr w:type="spellEnd"/>
      <w:r w:rsidRPr="006215A1">
        <w:rPr>
          <w:rFonts w:ascii="Times New Roman" w:eastAsia="Calibri" w:hAnsi="Times New Roman" w:cs="Times New Roman"/>
          <w:color w:val="000000"/>
          <w:sz w:val="24"/>
          <w:szCs w:val="24"/>
          <w:lang w:val="en-GB"/>
        </w:rPr>
        <w:t xml:space="preserve"> OD, </w:t>
      </w:r>
      <w:proofErr w:type="spellStart"/>
      <w:r w:rsidRPr="006215A1">
        <w:rPr>
          <w:rFonts w:ascii="Times New Roman" w:eastAsia="Calibri" w:hAnsi="Times New Roman" w:cs="Times New Roman"/>
          <w:color w:val="000000"/>
          <w:sz w:val="24"/>
          <w:szCs w:val="24"/>
          <w:lang w:val="en-GB"/>
        </w:rPr>
        <w:t>Akhiwu</w:t>
      </w:r>
      <w:proofErr w:type="spellEnd"/>
      <w:r w:rsidRPr="006215A1">
        <w:rPr>
          <w:rFonts w:ascii="Times New Roman" w:eastAsia="Calibri" w:hAnsi="Times New Roman" w:cs="Times New Roman"/>
          <w:color w:val="000000"/>
          <w:sz w:val="24"/>
          <w:szCs w:val="24"/>
          <w:lang w:val="en-GB"/>
        </w:rPr>
        <w:t xml:space="preserve"> I, </w:t>
      </w:r>
      <w:proofErr w:type="spellStart"/>
      <w:r w:rsidRPr="006215A1">
        <w:rPr>
          <w:rFonts w:ascii="Times New Roman" w:eastAsia="Calibri" w:hAnsi="Times New Roman" w:cs="Times New Roman"/>
          <w:color w:val="000000"/>
          <w:sz w:val="24"/>
          <w:szCs w:val="24"/>
          <w:lang w:val="en-GB"/>
        </w:rPr>
        <w:t>Efunkoya</w:t>
      </w:r>
      <w:proofErr w:type="spellEnd"/>
      <w:r w:rsidRPr="006215A1">
        <w:rPr>
          <w:rFonts w:ascii="Times New Roman" w:eastAsia="Calibri" w:hAnsi="Times New Roman" w:cs="Times New Roman"/>
          <w:color w:val="000000"/>
          <w:sz w:val="24"/>
          <w:szCs w:val="24"/>
          <w:lang w:val="en-GB"/>
        </w:rPr>
        <w:t xml:space="preserve"> AA, </w:t>
      </w:r>
      <w:proofErr w:type="spellStart"/>
      <w:r w:rsidRPr="006215A1">
        <w:rPr>
          <w:rFonts w:ascii="Times New Roman" w:eastAsia="Calibri" w:hAnsi="Times New Roman" w:cs="Times New Roman"/>
          <w:color w:val="000000"/>
          <w:sz w:val="24"/>
          <w:szCs w:val="24"/>
          <w:lang w:val="en-GB"/>
        </w:rPr>
        <w:t>Adebola</w:t>
      </w:r>
      <w:proofErr w:type="spellEnd"/>
      <w:r w:rsidRPr="006215A1">
        <w:rPr>
          <w:rFonts w:ascii="Times New Roman" w:eastAsia="Calibri" w:hAnsi="Times New Roman" w:cs="Times New Roman"/>
          <w:color w:val="000000"/>
          <w:sz w:val="24"/>
          <w:szCs w:val="24"/>
          <w:lang w:val="en-GB"/>
        </w:rPr>
        <w:t xml:space="preserve"> AR, </w:t>
      </w:r>
      <w:proofErr w:type="spellStart"/>
      <w:r w:rsidRPr="006215A1">
        <w:rPr>
          <w:rFonts w:ascii="Times New Roman" w:eastAsia="Calibri" w:hAnsi="Times New Roman" w:cs="Times New Roman"/>
          <w:color w:val="000000"/>
          <w:sz w:val="24"/>
          <w:szCs w:val="24"/>
          <w:lang w:val="en-GB"/>
        </w:rPr>
        <w:t>Iyogun</w:t>
      </w:r>
      <w:proofErr w:type="spellEnd"/>
      <w:r w:rsidRPr="006215A1">
        <w:rPr>
          <w:rFonts w:ascii="Times New Roman" w:eastAsia="Calibri" w:hAnsi="Times New Roman" w:cs="Times New Roman"/>
          <w:color w:val="000000"/>
          <w:sz w:val="24"/>
          <w:szCs w:val="24"/>
          <w:lang w:val="en-GB"/>
        </w:rPr>
        <w:t xml:space="preserve"> CA, </w:t>
      </w:r>
      <w:proofErr w:type="spellStart"/>
      <w:r w:rsidRPr="006215A1">
        <w:rPr>
          <w:rFonts w:ascii="Times New Roman" w:eastAsia="Calibri" w:hAnsi="Times New Roman" w:cs="Times New Roman"/>
          <w:color w:val="000000"/>
          <w:sz w:val="24"/>
          <w:szCs w:val="24"/>
          <w:lang w:val="en-GB"/>
        </w:rPr>
        <w:t>Arotiba</w:t>
      </w:r>
      <w:proofErr w:type="spellEnd"/>
      <w:r w:rsidRPr="006215A1">
        <w:rPr>
          <w:rFonts w:ascii="Times New Roman" w:eastAsia="Calibri" w:hAnsi="Times New Roman" w:cs="Times New Roman"/>
          <w:color w:val="000000"/>
          <w:sz w:val="24"/>
          <w:szCs w:val="24"/>
          <w:lang w:val="en-GB"/>
        </w:rPr>
        <w:t xml:space="preserve"> JT. Management of facial space infection in a Nigerian teaching hospital: A 4 year review. Niger Med J 2012</w:t>
      </w:r>
      <w:proofErr w:type="gramStart"/>
      <w:r w:rsidRPr="006215A1">
        <w:rPr>
          <w:rFonts w:ascii="Times New Roman" w:eastAsia="Calibri" w:hAnsi="Times New Roman" w:cs="Times New Roman"/>
          <w:color w:val="000000"/>
          <w:sz w:val="24"/>
          <w:szCs w:val="24"/>
          <w:lang w:val="en-GB"/>
        </w:rPr>
        <w:t>;53:12</w:t>
      </w:r>
      <w:proofErr w:type="gramEnd"/>
      <w:r w:rsidRPr="006215A1">
        <w:rPr>
          <w:rFonts w:ascii="Times New Roman" w:eastAsia="Calibri" w:hAnsi="Times New Roman" w:cs="Times New Roman"/>
          <w:color w:val="000000"/>
          <w:sz w:val="24"/>
          <w:szCs w:val="24"/>
          <w:lang w:val="en-GB"/>
        </w:rPr>
        <w:t>-15.</w:t>
      </w:r>
    </w:p>
    <w:p w:rsidR="00616A85" w:rsidRPr="006215A1" w:rsidRDefault="00616A85" w:rsidP="00616A85">
      <w:pPr>
        <w:numPr>
          <w:ilvl w:val="0"/>
          <w:numId w:val="1"/>
        </w:numPr>
        <w:spacing w:before="100" w:beforeAutospacing="1" w:after="100" w:afterAutospacing="1" w:line="480" w:lineRule="auto"/>
        <w:jc w:val="both"/>
        <w:rPr>
          <w:rFonts w:ascii="Times New Roman" w:eastAsia="Times New Roman" w:hAnsi="Times New Roman" w:cs="Times New Roman"/>
          <w:color w:val="000000"/>
          <w:sz w:val="24"/>
          <w:szCs w:val="24"/>
          <w:lang w:val="en-GB" w:eastAsia="en-GB"/>
        </w:rPr>
      </w:pPr>
      <w:proofErr w:type="spellStart"/>
      <w:r w:rsidRPr="006215A1">
        <w:rPr>
          <w:rFonts w:ascii="Times New Roman" w:eastAsia="Times New Roman" w:hAnsi="Times New Roman" w:cs="Times New Roman"/>
          <w:color w:val="000000"/>
          <w:sz w:val="24"/>
          <w:szCs w:val="24"/>
          <w:lang w:val="en-GB" w:eastAsia="en-GB"/>
        </w:rPr>
        <w:t>Nagaveni</w:t>
      </w:r>
      <w:proofErr w:type="spellEnd"/>
      <w:r w:rsidRPr="006215A1">
        <w:rPr>
          <w:rFonts w:ascii="Times New Roman" w:eastAsia="Times New Roman" w:hAnsi="Times New Roman" w:cs="Times New Roman"/>
          <w:color w:val="000000"/>
          <w:sz w:val="24"/>
          <w:szCs w:val="24"/>
          <w:lang w:val="en-GB" w:eastAsia="en-GB"/>
        </w:rPr>
        <w:t xml:space="preserve"> NB, </w:t>
      </w:r>
      <w:proofErr w:type="spellStart"/>
      <w:r w:rsidRPr="006215A1">
        <w:rPr>
          <w:rFonts w:ascii="Times New Roman" w:eastAsia="Times New Roman" w:hAnsi="Times New Roman" w:cs="Times New Roman"/>
          <w:color w:val="000000"/>
          <w:sz w:val="24"/>
          <w:szCs w:val="24"/>
          <w:lang w:val="en-GB" w:eastAsia="en-GB"/>
        </w:rPr>
        <w:t>Umashankara</w:t>
      </w:r>
      <w:proofErr w:type="spellEnd"/>
      <w:r w:rsidRPr="006215A1">
        <w:rPr>
          <w:rFonts w:ascii="Times New Roman" w:eastAsia="Times New Roman" w:hAnsi="Times New Roman" w:cs="Times New Roman"/>
          <w:color w:val="000000"/>
          <w:sz w:val="24"/>
          <w:szCs w:val="24"/>
          <w:lang w:val="en-GB" w:eastAsia="en-GB"/>
        </w:rPr>
        <w:t xml:space="preserve"> KV </w:t>
      </w:r>
      <w:proofErr w:type="spellStart"/>
      <w:r w:rsidRPr="006215A1">
        <w:rPr>
          <w:rFonts w:ascii="Times New Roman" w:eastAsia="Times New Roman" w:hAnsi="Times New Roman" w:cs="Times New Roman"/>
          <w:color w:val="000000"/>
          <w:sz w:val="24"/>
          <w:szCs w:val="24"/>
          <w:lang w:val="en-GB" w:eastAsia="en-GB"/>
        </w:rPr>
        <w:t>Microflora</w:t>
      </w:r>
      <w:proofErr w:type="spellEnd"/>
      <w:r w:rsidRPr="006215A1">
        <w:rPr>
          <w:rFonts w:ascii="Times New Roman" w:eastAsia="Times New Roman" w:hAnsi="Times New Roman" w:cs="Times New Roman"/>
          <w:color w:val="000000"/>
          <w:sz w:val="24"/>
          <w:szCs w:val="24"/>
          <w:lang w:val="en-GB" w:eastAsia="en-GB"/>
        </w:rPr>
        <w:t xml:space="preserve"> of </w:t>
      </w:r>
      <w:proofErr w:type="spellStart"/>
      <w:r w:rsidRPr="006215A1">
        <w:rPr>
          <w:rFonts w:ascii="Times New Roman" w:eastAsia="Times New Roman" w:hAnsi="Times New Roman" w:cs="Times New Roman"/>
          <w:color w:val="000000"/>
          <w:sz w:val="24"/>
          <w:szCs w:val="24"/>
          <w:lang w:val="en-GB" w:eastAsia="en-GB"/>
        </w:rPr>
        <w:t>Orofacial</w:t>
      </w:r>
      <w:proofErr w:type="spellEnd"/>
      <w:r w:rsidRPr="006215A1">
        <w:rPr>
          <w:rFonts w:ascii="Times New Roman" w:eastAsia="Times New Roman" w:hAnsi="Times New Roman" w:cs="Times New Roman"/>
          <w:color w:val="000000"/>
          <w:sz w:val="24"/>
          <w:szCs w:val="24"/>
          <w:lang w:val="en-GB" w:eastAsia="en-GB"/>
        </w:rPr>
        <w:t xml:space="preserve"> Space Infections of </w:t>
      </w:r>
      <w:proofErr w:type="spellStart"/>
      <w:r w:rsidRPr="006215A1">
        <w:rPr>
          <w:rFonts w:ascii="Times New Roman" w:eastAsia="Times New Roman" w:hAnsi="Times New Roman" w:cs="Times New Roman"/>
          <w:color w:val="000000"/>
          <w:sz w:val="24"/>
          <w:szCs w:val="24"/>
          <w:lang w:val="en-GB" w:eastAsia="en-GB"/>
        </w:rPr>
        <w:t>Odontogenic</w:t>
      </w:r>
      <w:proofErr w:type="spellEnd"/>
      <w:r w:rsidRPr="006215A1">
        <w:rPr>
          <w:rFonts w:ascii="Times New Roman" w:eastAsia="Times New Roman" w:hAnsi="Times New Roman" w:cs="Times New Roman"/>
          <w:color w:val="000000"/>
          <w:sz w:val="24"/>
          <w:szCs w:val="24"/>
          <w:lang w:val="en-GB" w:eastAsia="en-GB"/>
        </w:rPr>
        <w:t xml:space="preserve"> Origin in Children – A Bacteriological Study. J </w:t>
      </w:r>
      <w:proofErr w:type="spellStart"/>
      <w:r w:rsidRPr="006215A1">
        <w:rPr>
          <w:rFonts w:ascii="Times New Roman" w:eastAsia="Times New Roman" w:hAnsi="Times New Roman" w:cs="Times New Roman"/>
          <w:color w:val="000000"/>
          <w:sz w:val="24"/>
          <w:szCs w:val="24"/>
          <w:lang w:val="en-GB" w:eastAsia="en-GB"/>
        </w:rPr>
        <w:t>Interdiscipl</w:t>
      </w:r>
      <w:proofErr w:type="spellEnd"/>
      <w:r w:rsidRPr="006215A1">
        <w:rPr>
          <w:rFonts w:ascii="Times New Roman" w:eastAsia="Times New Roman" w:hAnsi="Times New Roman" w:cs="Times New Roman"/>
          <w:color w:val="000000"/>
          <w:sz w:val="24"/>
          <w:szCs w:val="24"/>
          <w:lang w:val="en-GB" w:eastAsia="en-GB"/>
        </w:rPr>
        <w:t xml:space="preserve"> Med Dent </w:t>
      </w:r>
      <w:proofErr w:type="spellStart"/>
      <w:r w:rsidRPr="006215A1">
        <w:rPr>
          <w:rFonts w:ascii="Times New Roman" w:eastAsia="Times New Roman" w:hAnsi="Times New Roman" w:cs="Times New Roman"/>
          <w:color w:val="000000"/>
          <w:sz w:val="24"/>
          <w:szCs w:val="24"/>
          <w:lang w:val="en-GB" w:eastAsia="en-GB"/>
        </w:rPr>
        <w:t>Sci</w:t>
      </w:r>
      <w:proofErr w:type="spellEnd"/>
      <w:r w:rsidRPr="006215A1">
        <w:rPr>
          <w:rFonts w:ascii="Times New Roman" w:eastAsia="Times New Roman" w:hAnsi="Times New Roman" w:cs="Times New Roman"/>
          <w:color w:val="000000"/>
          <w:sz w:val="24"/>
          <w:szCs w:val="24"/>
          <w:lang w:val="en-GB" w:eastAsia="en-GB"/>
        </w:rPr>
        <w:t xml:space="preserve"> 2014</w:t>
      </w:r>
      <w:proofErr w:type="gramStart"/>
      <w:r w:rsidRPr="006215A1">
        <w:rPr>
          <w:rFonts w:ascii="Times New Roman" w:eastAsia="Times New Roman" w:hAnsi="Times New Roman" w:cs="Times New Roman"/>
          <w:color w:val="000000"/>
          <w:sz w:val="24"/>
          <w:szCs w:val="24"/>
          <w:lang w:val="en-GB" w:eastAsia="en-GB"/>
        </w:rPr>
        <w:t>;2:118</w:t>
      </w:r>
      <w:proofErr w:type="gramEnd"/>
      <w:r w:rsidRPr="006215A1">
        <w:rPr>
          <w:rFonts w:ascii="Times New Roman" w:eastAsia="Times New Roman" w:hAnsi="Times New Roman" w:cs="Times New Roman"/>
          <w:color w:val="000000"/>
          <w:sz w:val="24"/>
          <w:szCs w:val="24"/>
          <w:lang w:val="en-GB" w:eastAsia="en-GB"/>
        </w:rPr>
        <w:t>.    doi:10.4172/2376-032X.1000118</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eastAsia="en-GB"/>
        </w:rPr>
        <w:t xml:space="preserve">Wynn SR. Mast cell stabilizers, </w:t>
      </w:r>
      <w:proofErr w:type="spellStart"/>
      <w:r w:rsidRPr="006215A1">
        <w:rPr>
          <w:rFonts w:ascii="Times New Roman" w:eastAsia="Times New Roman" w:hAnsi="Times New Roman" w:cs="Times New Roman"/>
          <w:color w:val="000000"/>
          <w:sz w:val="24"/>
          <w:szCs w:val="24"/>
          <w:lang w:val="en-GB" w:eastAsia="en-GB"/>
        </w:rPr>
        <w:t>anticholinergics</w:t>
      </w:r>
      <w:proofErr w:type="spellEnd"/>
      <w:r w:rsidRPr="006215A1">
        <w:rPr>
          <w:rFonts w:ascii="Times New Roman" w:eastAsia="Times New Roman" w:hAnsi="Times New Roman" w:cs="Times New Roman"/>
          <w:color w:val="000000"/>
          <w:sz w:val="24"/>
          <w:szCs w:val="24"/>
          <w:lang w:val="en-GB" w:eastAsia="en-GB"/>
        </w:rPr>
        <w:t xml:space="preserve">, corticosteroids and </w:t>
      </w:r>
      <w:proofErr w:type="spellStart"/>
      <w:r w:rsidRPr="006215A1">
        <w:rPr>
          <w:rFonts w:ascii="Times New Roman" w:eastAsia="Times New Roman" w:hAnsi="Times New Roman" w:cs="Times New Roman"/>
          <w:color w:val="000000"/>
          <w:sz w:val="24"/>
          <w:szCs w:val="24"/>
          <w:lang w:val="en-GB" w:eastAsia="en-GB"/>
        </w:rPr>
        <w:t>troleandomycin</w:t>
      </w:r>
      <w:proofErr w:type="spellEnd"/>
      <w:r w:rsidRPr="006215A1">
        <w:rPr>
          <w:rFonts w:ascii="Times New Roman" w:eastAsia="Times New Roman" w:hAnsi="Times New Roman" w:cs="Times New Roman"/>
          <w:color w:val="000000"/>
          <w:sz w:val="24"/>
          <w:szCs w:val="24"/>
          <w:lang w:val="en-GB" w:eastAsia="en-GB"/>
        </w:rPr>
        <w:t xml:space="preserve">. J Allergy </w:t>
      </w:r>
      <w:proofErr w:type="spellStart"/>
      <w:r w:rsidRPr="006215A1">
        <w:rPr>
          <w:rFonts w:ascii="Times New Roman" w:eastAsia="Times New Roman" w:hAnsi="Times New Roman" w:cs="Times New Roman"/>
          <w:color w:val="000000"/>
          <w:sz w:val="24"/>
          <w:szCs w:val="24"/>
          <w:lang w:val="en-GB" w:eastAsia="en-GB"/>
        </w:rPr>
        <w:t>Clin</w:t>
      </w:r>
      <w:proofErr w:type="spellEnd"/>
      <w:r w:rsidRPr="006215A1">
        <w:rPr>
          <w:rFonts w:ascii="Times New Roman" w:eastAsia="Times New Roman" w:hAnsi="Times New Roman" w:cs="Times New Roman"/>
          <w:color w:val="000000"/>
          <w:sz w:val="24"/>
          <w:szCs w:val="24"/>
          <w:lang w:val="en-GB" w:eastAsia="en-GB"/>
        </w:rPr>
        <w:t xml:space="preserve"> </w:t>
      </w:r>
      <w:proofErr w:type="spellStart"/>
      <w:r w:rsidRPr="006215A1">
        <w:rPr>
          <w:rFonts w:ascii="Times New Roman" w:eastAsia="Times New Roman" w:hAnsi="Times New Roman" w:cs="Times New Roman"/>
          <w:color w:val="000000"/>
          <w:sz w:val="24"/>
          <w:szCs w:val="24"/>
          <w:lang w:val="en-GB" w:eastAsia="en-GB"/>
        </w:rPr>
        <w:t>Immunol</w:t>
      </w:r>
      <w:proofErr w:type="spellEnd"/>
      <w:r w:rsidRPr="006215A1">
        <w:rPr>
          <w:rFonts w:ascii="Times New Roman" w:eastAsia="Times New Roman" w:hAnsi="Times New Roman" w:cs="Times New Roman"/>
          <w:color w:val="000000"/>
          <w:sz w:val="24"/>
          <w:szCs w:val="24"/>
          <w:lang w:val="en-GB" w:eastAsia="en-GB"/>
        </w:rPr>
        <w:t>. 1989</w:t>
      </w:r>
      <w:proofErr w:type="gramStart"/>
      <w:r w:rsidRPr="006215A1">
        <w:rPr>
          <w:rFonts w:ascii="Times New Roman" w:eastAsia="Times New Roman" w:hAnsi="Times New Roman" w:cs="Times New Roman"/>
          <w:color w:val="000000"/>
          <w:sz w:val="24"/>
          <w:szCs w:val="24"/>
          <w:lang w:val="en-GB" w:eastAsia="en-GB"/>
        </w:rPr>
        <w:t>;84:1100</w:t>
      </w:r>
      <w:proofErr w:type="gramEnd"/>
      <w:r w:rsidRPr="006215A1">
        <w:rPr>
          <w:rFonts w:ascii="Times New Roman" w:eastAsia="Times New Roman" w:hAnsi="Times New Roman" w:cs="Times New Roman"/>
          <w:color w:val="000000"/>
          <w:sz w:val="24"/>
          <w:szCs w:val="24"/>
          <w:lang w:val="en-GB" w:eastAsia="en-GB"/>
        </w:rPr>
        <w:t>-1103.</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Calibri" w:hAnsi="Times New Roman" w:cs="Times New Roman"/>
          <w:color w:val="000000"/>
          <w:sz w:val="24"/>
          <w:szCs w:val="24"/>
          <w:lang w:val="en-GB"/>
        </w:rPr>
        <w:t>Kudiyirickal</w:t>
      </w:r>
      <w:proofErr w:type="spellEnd"/>
      <w:r w:rsidRPr="006215A1">
        <w:rPr>
          <w:rFonts w:ascii="Times New Roman" w:eastAsia="Calibri" w:hAnsi="Times New Roman" w:cs="Times New Roman"/>
          <w:color w:val="000000"/>
          <w:sz w:val="24"/>
          <w:szCs w:val="24"/>
          <w:lang w:val="en-GB"/>
        </w:rPr>
        <w:t xml:space="preserve"> MG, </w:t>
      </w:r>
      <w:proofErr w:type="spellStart"/>
      <w:r w:rsidRPr="006215A1">
        <w:rPr>
          <w:rFonts w:ascii="Times New Roman" w:eastAsia="Calibri" w:hAnsi="Times New Roman" w:cs="Times New Roman"/>
          <w:color w:val="000000"/>
          <w:sz w:val="24"/>
          <w:szCs w:val="24"/>
          <w:lang w:val="en-GB"/>
        </w:rPr>
        <w:t>Hollinshead</w:t>
      </w:r>
      <w:proofErr w:type="spellEnd"/>
      <w:r w:rsidRPr="006215A1">
        <w:rPr>
          <w:rFonts w:ascii="Times New Roman" w:eastAsia="Calibri" w:hAnsi="Times New Roman" w:cs="Times New Roman"/>
          <w:color w:val="000000"/>
          <w:sz w:val="24"/>
          <w:szCs w:val="24"/>
          <w:lang w:val="en-GB"/>
        </w:rPr>
        <w:t xml:space="preserve"> F. Clinical profile of </w:t>
      </w:r>
      <w:proofErr w:type="spellStart"/>
      <w:r w:rsidRPr="006215A1">
        <w:rPr>
          <w:rFonts w:ascii="Times New Roman" w:eastAsia="Calibri" w:hAnsi="Times New Roman" w:cs="Times New Roman"/>
          <w:color w:val="000000"/>
          <w:sz w:val="24"/>
          <w:szCs w:val="24"/>
          <w:lang w:val="en-GB"/>
        </w:rPr>
        <w:t>orofacial</w:t>
      </w:r>
      <w:proofErr w:type="spellEnd"/>
      <w:r w:rsidRPr="006215A1">
        <w:rPr>
          <w:rFonts w:ascii="Times New Roman" w:eastAsia="Calibri" w:hAnsi="Times New Roman" w:cs="Times New Roman"/>
          <w:color w:val="000000"/>
          <w:sz w:val="24"/>
          <w:szCs w:val="24"/>
          <w:lang w:val="en-GB"/>
        </w:rPr>
        <w:t xml:space="preserve"> infections: an experience from two primary care dental practices. Med. Oral </w:t>
      </w:r>
      <w:proofErr w:type="spellStart"/>
      <w:r w:rsidRPr="006215A1">
        <w:rPr>
          <w:rFonts w:ascii="Times New Roman" w:eastAsia="Calibri" w:hAnsi="Times New Roman" w:cs="Times New Roman"/>
          <w:color w:val="000000"/>
          <w:sz w:val="24"/>
          <w:szCs w:val="24"/>
          <w:lang w:val="en-GB"/>
        </w:rPr>
        <w:t>Patol</w:t>
      </w:r>
      <w:proofErr w:type="spellEnd"/>
      <w:r w:rsidRPr="006215A1">
        <w:rPr>
          <w:rFonts w:ascii="Times New Roman" w:eastAsia="Calibri" w:hAnsi="Times New Roman" w:cs="Times New Roman"/>
          <w:color w:val="000000"/>
          <w:sz w:val="24"/>
          <w:szCs w:val="24"/>
          <w:lang w:val="en-GB"/>
        </w:rPr>
        <w:t xml:space="preserve">. Oral Cir. </w:t>
      </w:r>
      <w:proofErr w:type="spellStart"/>
      <w:r w:rsidRPr="006215A1">
        <w:rPr>
          <w:rFonts w:ascii="Times New Roman" w:eastAsia="Calibri" w:hAnsi="Times New Roman" w:cs="Times New Roman"/>
          <w:color w:val="000000"/>
          <w:sz w:val="24"/>
          <w:szCs w:val="24"/>
          <w:lang w:val="en-GB"/>
        </w:rPr>
        <w:t>Bucal</w:t>
      </w:r>
      <w:proofErr w:type="spellEnd"/>
      <w:r w:rsidRPr="006215A1">
        <w:rPr>
          <w:rFonts w:ascii="Times New Roman" w:eastAsia="Calibri" w:hAnsi="Times New Roman" w:cs="Times New Roman"/>
          <w:color w:val="000000"/>
          <w:sz w:val="24"/>
          <w:szCs w:val="24"/>
          <w:lang w:val="en-GB"/>
        </w:rPr>
        <w:t xml:space="preserve"> 2012;17:533-537 </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Calibri" w:hAnsi="Times New Roman" w:cs="Times New Roman"/>
          <w:color w:val="000000"/>
          <w:sz w:val="24"/>
          <w:szCs w:val="24"/>
          <w:lang w:val="en-GB"/>
        </w:rPr>
        <w:t>Veronez</w:t>
      </w:r>
      <w:proofErr w:type="spellEnd"/>
      <w:r w:rsidRPr="006215A1">
        <w:rPr>
          <w:rFonts w:ascii="Times New Roman" w:eastAsia="Calibri" w:hAnsi="Times New Roman" w:cs="Times New Roman"/>
          <w:color w:val="000000"/>
          <w:sz w:val="24"/>
          <w:szCs w:val="24"/>
          <w:lang w:val="en-GB"/>
        </w:rPr>
        <w:t xml:space="preserve"> B, Pando de Matos F, </w:t>
      </w:r>
      <w:proofErr w:type="spellStart"/>
      <w:r w:rsidRPr="006215A1">
        <w:rPr>
          <w:rFonts w:ascii="Times New Roman" w:eastAsia="Calibri" w:hAnsi="Times New Roman" w:cs="Times New Roman"/>
          <w:color w:val="000000"/>
          <w:sz w:val="24"/>
          <w:szCs w:val="24"/>
          <w:lang w:val="en-GB"/>
        </w:rPr>
        <w:t>Monnazzi</w:t>
      </w:r>
      <w:proofErr w:type="spellEnd"/>
      <w:r w:rsidRPr="006215A1">
        <w:rPr>
          <w:rFonts w:ascii="Times New Roman" w:eastAsia="Calibri" w:hAnsi="Times New Roman" w:cs="Times New Roman"/>
          <w:color w:val="000000"/>
          <w:sz w:val="24"/>
          <w:szCs w:val="24"/>
          <w:lang w:val="en-GB"/>
        </w:rPr>
        <w:t xml:space="preserve"> MS, </w:t>
      </w:r>
      <w:proofErr w:type="spellStart"/>
      <w:r w:rsidRPr="006215A1">
        <w:rPr>
          <w:rFonts w:ascii="Times New Roman" w:eastAsia="Calibri" w:hAnsi="Times New Roman" w:cs="Times New Roman"/>
          <w:color w:val="000000"/>
          <w:sz w:val="24"/>
          <w:szCs w:val="24"/>
          <w:lang w:val="en-GB"/>
        </w:rPr>
        <w:t>Sverzut</w:t>
      </w:r>
      <w:proofErr w:type="spellEnd"/>
      <w:r w:rsidRPr="006215A1">
        <w:rPr>
          <w:rFonts w:ascii="Times New Roman" w:eastAsia="Calibri" w:hAnsi="Times New Roman" w:cs="Times New Roman"/>
          <w:color w:val="000000"/>
          <w:sz w:val="24"/>
          <w:szCs w:val="24"/>
          <w:lang w:val="en-GB"/>
        </w:rPr>
        <w:t xml:space="preserve"> AT, </w:t>
      </w:r>
      <w:proofErr w:type="spellStart"/>
      <w:r w:rsidRPr="006215A1">
        <w:rPr>
          <w:rFonts w:ascii="Times New Roman" w:eastAsia="Calibri" w:hAnsi="Times New Roman" w:cs="Times New Roman"/>
          <w:color w:val="000000"/>
          <w:sz w:val="24"/>
          <w:szCs w:val="24"/>
          <w:lang w:val="en-GB"/>
        </w:rPr>
        <w:t>Sverzut</w:t>
      </w:r>
      <w:proofErr w:type="spellEnd"/>
      <w:r w:rsidRPr="006215A1">
        <w:rPr>
          <w:rFonts w:ascii="Times New Roman" w:eastAsia="Calibri" w:hAnsi="Times New Roman" w:cs="Times New Roman"/>
          <w:color w:val="000000"/>
          <w:sz w:val="24"/>
          <w:szCs w:val="24"/>
          <w:lang w:val="en-GB"/>
        </w:rPr>
        <w:t xml:space="preserve"> CE, </w:t>
      </w:r>
      <w:proofErr w:type="spellStart"/>
      <w:r w:rsidRPr="006215A1">
        <w:rPr>
          <w:rFonts w:ascii="Times New Roman" w:eastAsia="Calibri" w:hAnsi="Times New Roman" w:cs="Times New Roman"/>
          <w:color w:val="000000"/>
          <w:sz w:val="24"/>
          <w:szCs w:val="24"/>
          <w:lang w:val="en-GB"/>
        </w:rPr>
        <w:t>Trivellato</w:t>
      </w:r>
      <w:proofErr w:type="spellEnd"/>
      <w:r w:rsidRPr="006215A1">
        <w:rPr>
          <w:rFonts w:ascii="Times New Roman" w:eastAsia="Calibri" w:hAnsi="Times New Roman" w:cs="Times New Roman"/>
          <w:color w:val="000000"/>
          <w:sz w:val="24"/>
          <w:szCs w:val="24"/>
          <w:lang w:val="en-GB"/>
        </w:rPr>
        <w:t xml:space="preserve"> AE. Maxillofacial infection; </w:t>
      </w:r>
      <w:proofErr w:type="gramStart"/>
      <w:r w:rsidRPr="006215A1">
        <w:rPr>
          <w:rFonts w:ascii="Times New Roman" w:eastAsia="Calibri" w:hAnsi="Times New Roman" w:cs="Times New Roman"/>
          <w:color w:val="000000"/>
          <w:sz w:val="24"/>
          <w:szCs w:val="24"/>
          <w:lang w:val="en-GB"/>
        </w:rPr>
        <w:t>A</w:t>
      </w:r>
      <w:proofErr w:type="gramEnd"/>
      <w:r w:rsidRPr="006215A1">
        <w:rPr>
          <w:rFonts w:ascii="Times New Roman" w:eastAsia="Calibri" w:hAnsi="Times New Roman" w:cs="Times New Roman"/>
          <w:color w:val="000000"/>
          <w:sz w:val="24"/>
          <w:szCs w:val="24"/>
          <w:lang w:val="en-GB"/>
        </w:rPr>
        <w:t xml:space="preserve"> retrospective evaluation of eight years. Brazil. J. Oral Sci. 2014;3:98 -103</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Calibri" w:hAnsi="Times New Roman" w:cs="Times New Roman"/>
          <w:color w:val="000000"/>
          <w:sz w:val="24"/>
          <w:szCs w:val="24"/>
          <w:lang w:val="en-GB"/>
        </w:rPr>
        <w:t>Gonclaves</w:t>
      </w:r>
      <w:proofErr w:type="spellEnd"/>
      <w:r w:rsidRPr="006215A1">
        <w:rPr>
          <w:rFonts w:ascii="Times New Roman" w:eastAsia="Calibri" w:hAnsi="Times New Roman" w:cs="Times New Roman"/>
          <w:color w:val="000000"/>
          <w:sz w:val="24"/>
          <w:szCs w:val="24"/>
          <w:lang w:val="en-GB"/>
        </w:rPr>
        <w:t xml:space="preserve"> L, </w:t>
      </w:r>
      <w:proofErr w:type="spellStart"/>
      <w:r w:rsidRPr="006215A1">
        <w:rPr>
          <w:rFonts w:ascii="Times New Roman" w:eastAsia="Calibri" w:hAnsi="Times New Roman" w:cs="Times New Roman"/>
          <w:color w:val="000000"/>
          <w:sz w:val="24"/>
          <w:szCs w:val="24"/>
          <w:lang w:val="en-GB"/>
        </w:rPr>
        <w:t>Lauriti</w:t>
      </w:r>
      <w:proofErr w:type="spellEnd"/>
      <w:r w:rsidRPr="006215A1">
        <w:rPr>
          <w:rFonts w:ascii="Times New Roman" w:eastAsia="Calibri" w:hAnsi="Times New Roman" w:cs="Times New Roman"/>
          <w:color w:val="000000"/>
          <w:sz w:val="24"/>
          <w:szCs w:val="24"/>
          <w:lang w:val="en-GB"/>
        </w:rPr>
        <w:t xml:space="preserve"> L, Yamamoto MK, Luz GJ. Characteristics and management of patients requiring hospitalization for treatment of </w:t>
      </w:r>
      <w:proofErr w:type="spellStart"/>
      <w:r w:rsidRPr="006215A1">
        <w:rPr>
          <w:rFonts w:ascii="Times New Roman" w:eastAsia="Calibri" w:hAnsi="Times New Roman" w:cs="Times New Roman"/>
          <w:color w:val="000000"/>
          <w:sz w:val="24"/>
          <w:szCs w:val="24"/>
          <w:lang w:val="en-GB"/>
        </w:rPr>
        <w:t>odontogenic</w:t>
      </w:r>
      <w:proofErr w:type="spellEnd"/>
      <w:r w:rsidRPr="006215A1">
        <w:rPr>
          <w:rFonts w:ascii="Times New Roman" w:eastAsia="Calibri" w:hAnsi="Times New Roman" w:cs="Times New Roman"/>
          <w:color w:val="000000"/>
          <w:sz w:val="24"/>
          <w:szCs w:val="24"/>
          <w:lang w:val="en-GB"/>
        </w:rPr>
        <w:t xml:space="preserve"> infections. </w:t>
      </w:r>
      <w:proofErr w:type="spellStart"/>
      <w:r w:rsidRPr="006215A1">
        <w:rPr>
          <w:rFonts w:ascii="Times New Roman" w:eastAsia="Calibri" w:hAnsi="Times New Roman" w:cs="Times New Roman"/>
          <w:color w:val="000000"/>
          <w:sz w:val="24"/>
          <w:szCs w:val="24"/>
          <w:lang w:val="en-GB"/>
        </w:rPr>
        <w:t>Craniofac</w:t>
      </w:r>
      <w:proofErr w:type="spellEnd"/>
      <w:r w:rsidRPr="006215A1">
        <w:rPr>
          <w:rFonts w:ascii="Times New Roman" w:eastAsia="Calibri" w:hAnsi="Times New Roman" w:cs="Times New Roman"/>
          <w:color w:val="000000"/>
          <w:sz w:val="24"/>
          <w:szCs w:val="24"/>
          <w:lang w:val="en-GB"/>
        </w:rPr>
        <w:t xml:space="preserve"> </w:t>
      </w:r>
      <w:proofErr w:type="spellStart"/>
      <w:r w:rsidRPr="006215A1">
        <w:rPr>
          <w:rFonts w:ascii="Times New Roman" w:eastAsia="Calibri" w:hAnsi="Times New Roman" w:cs="Times New Roman"/>
          <w:color w:val="000000"/>
          <w:sz w:val="24"/>
          <w:szCs w:val="24"/>
          <w:lang w:val="en-GB"/>
        </w:rPr>
        <w:t>Surg</w:t>
      </w:r>
      <w:proofErr w:type="spellEnd"/>
      <w:r w:rsidRPr="006215A1">
        <w:rPr>
          <w:rFonts w:ascii="Times New Roman" w:eastAsia="Calibri" w:hAnsi="Times New Roman" w:cs="Times New Roman"/>
          <w:color w:val="000000"/>
          <w:sz w:val="24"/>
          <w:szCs w:val="24"/>
          <w:lang w:val="en-GB"/>
        </w:rPr>
        <w:t xml:space="preserve"> 2013</w:t>
      </w:r>
      <w:proofErr w:type="gramStart"/>
      <w:r w:rsidRPr="006215A1">
        <w:rPr>
          <w:rFonts w:ascii="Times New Roman" w:eastAsia="Calibri" w:hAnsi="Times New Roman" w:cs="Times New Roman"/>
          <w:color w:val="000000"/>
          <w:sz w:val="24"/>
          <w:szCs w:val="24"/>
          <w:lang w:val="en-GB"/>
        </w:rPr>
        <w:t>;24:458</w:t>
      </w:r>
      <w:proofErr w:type="gramEnd"/>
      <w:r w:rsidRPr="006215A1">
        <w:rPr>
          <w:rFonts w:ascii="Times New Roman" w:eastAsia="Calibri" w:hAnsi="Times New Roman" w:cs="Times New Roman"/>
          <w:color w:val="000000"/>
          <w:sz w:val="24"/>
          <w:szCs w:val="24"/>
          <w:lang w:val="en-GB"/>
        </w:rPr>
        <w:t>-462.</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Calibri" w:hAnsi="Times New Roman" w:cs="Times New Roman"/>
          <w:color w:val="000000"/>
          <w:sz w:val="24"/>
          <w:szCs w:val="24"/>
        </w:rPr>
        <w:t xml:space="preserve">Stewart BL, </w:t>
      </w:r>
      <w:proofErr w:type="spellStart"/>
      <w:r w:rsidRPr="006215A1">
        <w:rPr>
          <w:rFonts w:ascii="Times New Roman" w:eastAsia="Calibri" w:hAnsi="Times New Roman" w:cs="Times New Roman"/>
          <w:color w:val="000000"/>
          <w:sz w:val="24"/>
          <w:szCs w:val="24"/>
        </w:rPr>
        <w:t>Sabbah</w:t>
      </w:r>
      <w:proofErr w:type="spellEnd"/>
      <w:r w:rsidRPr="006215A1">
        <w:rPr>
          <w:rFonts w:ascii="Times New Roman" w:eastAsia="Calibri" w:hAnsi="Times New Roman" w:cs="Times New Roman"/>
          <w:color w:val="000000"/>
          <w:sz w:val="24"/>
          <w:szCs w:val="24"/>
        </w:rPr>
        <w:t xml:space="preserve"> WA, </w:t>
      </w:r>
      <w:proofErr w:type="spellStart"/>
      <w:r w:rsidRPr="006215A1">
        <w:rPr>
          <w:rFonts w:ascii="Times New Roman" w:eastAsia="Calibri" w:hAnsi="Times New Roman" w:cs="Times New Roman"/>
          <w:color w:val="000000"/>
          <w:sz w:val="24"/>
          <w:szCs w:val="24"/>
        </w:rPr>
        <w:t>Owusu-Agyakwa</w:t>
      </w:r>
      <w:proofErr w:type="spellEnd"/>
      <w:r w:rsidRPr="006215A1">
        <w:rPr>
          <w:rFonts w:ascii="Times New Roman" w:eastAsia="Calibri" w:hAnsi="Times New Roman" w:cs="Times New Roman"/>
          <w:color w:val="000000"/>
          <w:sz w:val="24"/>
          <w:szCs w:val="24"/>
        </w:rPr>
        <w:t xml:space="preserve"> GB. Dental pain experience and impact on children in </w:t>
      </w:r>
      <w:proofErr w:type="spellStart"/>
      <w:r w:rsidRPr="006215A1">
        <w:rPr>
          <w:rFonts w:ascii="Times New Roman" w:eastAsia="Calibri" w:hAnsi="Times New Roman" w:cs="Times New Roman"/>
          <w:color w:val="000000"/>
          <w:sz w:val="24"/>
          <w:szCs w:val="24"/>
        </w:rPr>
        <w:t>Tabul</w:t>
      </w:r>
      <w:proofErr w:type="spellEnd"/>
      <w:r w:rsidRPr="006215A1">
        <w:rPr>
          <w:rFonts w:ascii="Times New Roman" w:eastAsia="Calibri" w:hAnsi="Times New Roman" w:cs="Times New Roman"/>
          <w:color w:val="000000"/>
          <w:sz w:val="24"/>
          <w:szCs w:val="24"/>
        </w:rPr>
        <w:t>, Saudi Arabia. Saudi Dent J 2002</w:t>
      </w:r>
      <w:proofErr w:type="gramStart"/>
      <w:r w:rsidRPr="006215A1">
        <w:rPr>
          <w:rFonts w:ascii="Times New Roman" w:eastAsia="Calibri" w:hAnsi="Times New Roman" w:cs="Times New Roman"/>
          <w:color w:val="000000"/>
          <w:sz w:val="24"/>
          <w:szCs w:val="24"/>
        </w:rPr>
        <w:t>;14:82</w:t>
      </w:r>
      <w:proofErr w:type="gramEnd"/>
      <w:r w:rsidRPr="006215A1">
        <w:rPr>
          <w:rFonts w:ascii="Times New Roman" w:eastAsia="Calibri" w:hAnsi="Times New Roman" w:cs="Times New Roman"/>
          <w:color w:val="000000"/>
          <w:sz w:val="24"/>
          <w:szCs w:val="24"/>
        </w:rPr>
        <w:t>-88.</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Times New Roman" w:hAnsi="Times New Roman" w:cs="Times New Roman"/>
          <w:color w:val="000000"/>
          <w:sz w:val="24"/>
          <w:szCs w:val="24"/>
          <w:lang w:val="en-GB" w:eastAsia="en-GB"/>
        </w:rPr>
        <w:t>Moreland LW, Corey J, McKenzie R. Ludwig’s angina; Report of a case and review of the literature. Arch Intern Med 148:461-466.</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r w:rsidRPr="006215A1">
        <w:rPr>
          <w:rFonts w:ascii="Times New Roman" w:eastAsia="Times New Roman" w:hAnsi="Times New Roman" w:cs="Times New Roman"/>
          <w:color w:val="000000"/>
          <w:sz w:val="24"/>
          <w:szCs w:val="24"/>
          <w:lang w:val="en-GB"/>
        </w:rPr>
        <w:lastRenderedPageBreak/>
        <w:t xml:space="preserve">Lin YT, Lu PW. Retrospective study of paediatric facial cellulitis of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 origin. </w:t>
      </w:r>
      <w:proofErr w:type="spellStart"/>
      <w:r w:rsidRPr="006215A1">
        <w:rPr>
          <w:rFonts w:ascii="Times New Roman" w:eastAsia="Times New Roman" w:hAnsi="Times New Roman" w:cs="Times New Roman"/>
          <w:color w:val="000000"/>
          <w:sz w:val="24"/>
          <w:szCs w:val="24"/>
          <w:lang w:val="en-GB"/>
        </w:rPr>
        <w:t>Pediatr</w:t>
      </w:r>
      <w:proofErr w:type="spellEnd"/>
      <w:r w:rsidRPr="006215A1">
        <w:rPr>
          <w:rFonts w:ascii="Times New Roman" w:eastAsia="Times New Roman" w:hAnsi="Times New Roman" w:cs="Times New Roman"/>
          <w:color w:val="000000"/>
          <w:sz w:val="24"/>
          <w:szCs w:val="24"/>
          <w:lang w:val="en-GB"/>
        </w:rPr>
        <w:t>. Infect. Dis. J. 2006</w:t>
      </w:r>
      <w:proofErr w:type="gramStart"/>
      <w:r w:rsidRPr="006215A1">
        <w:rPr>
          <w:rFonts w:ascii="Times New Roman" w:eastAsia="Times New Roman" w:hAnsi="Times New Roman" w:cs="Times New Roman"/>
          <w:color w:val="000000"/>
          <w:sz w:val="24"/>
          <w:szCs w:val="24"/>
          <w:lang w:val="en-GB"/>
        </w:rPr>
        <w:t>;25:339</w:t>
      </w:r>
      <w:proofErr w:type="gramEnd"/>
      <w:r w:rsidRPr="006215A1">
        <w:rPr>
          <w:rFonts w:ascii="Times New Roman" w:eastAsia="Times New Roman" w:hAnsi="Times New Roman" w:cs="Times New Roman"/>
          <w:color w:val="000000"/>
          <w:sz w:val="24"/>
          <w:szCs w:val="24"/>
          <w:lang w:val="en-GB"/>
        </w:rPr>
        <w:t>-342.</w:t>
      </w:r>
    </w:p>
    <w:p w:rsidR="00616A85" w:rsidRPr="006215A1" w:rsidRDefault="00616A85" w:rsidP="00616A85">
      <w:pPr>
        <w:numPr>
          <w:ilvl w:val="0"/>
          <w:numId w:val="1"/>
        </w:numPr>
        <w:spacing w:after="0" w:line="480" w:lineRule="auto"/>
        <w:contextualSpacing/>
        <w:jc w:val="both"/>
        <w:rPr>
          <w:rFonts w:ascii="Times New Roman" w:eastAsia="Calibri" w:hAnsi="Times New Roman" w:cs="Times New Roman"/>
          <w:color w:val="000000"/>
          <w:sz w:val="24"/>
          <w:szCs w:val="24"/>
          <w:lang w:val="en-GB"/>
        </w:rPr>
      </w:pPr>
      <w:proofErr w:type="spellStart"/>
      <w:r w:rsidRPr="006215A1">
        <w:rPr>
          <w:rFonts w:ascii="Times New Roman" w:eastAsia="Times New Roman" w:hAnsi="Times New Roman" w:cs="Times New Roman"/>
          <w:color w:val="000000"/>
          <w:sz w:val="24"/>
          <w:szCs w:val="24"/>
          <w:lang w:val="en-GB"/>
        </w:rPr>
        <w:t>Thikkurissy</w:t>
      </w:r>
      <w:proofErr w:type="spellEnd"/>
      <w:r w:rsidRPr="006215A1">
        <w:rPr>
          <w:rFonts w:ascii="Times New Roman" w:eastAsia="Times New Roman" w:hAnsi="Times New Roman" w:cs="Times New Roman"/>
          <w:color w:val="000000"/>
          <w:sz w:val="24"/>
          <w:szCs w:val="24"/>
          <w:lang w:val="en-GB"/>
        </w:rPr>
        <w:t xml:space="preserve"> S, Rawlins JT, Kumar A, Evans E, </w:t>
      </w:r>
      <w:proofErr w:type="spellStart"/>
      <w:r w:rsidRPr="006215A1">
        <w:rPr>
          <w:rFonts w:ascii="Times New Roman" w:eastAsia="Times New Roman" w:hAnsi="Times New Roman" w:cs="Times New Roman"/>
          <w:color w:val="000000"/>
          <w:sz w:val="24"/>
          <w:szCs w:val="24"/>
          <w:lang w:val="en-GB"/>
        </w:rPr>
        <w:t>Casamassimo</w:t>
      </w:r>
      <w:proofErr w:type="spellEnd"/>
      <w:r w:rsidRPr="006215A1">
        <w:rPr>
          <w:rFonts w:ascii="Times New Roman" w:eastAsia="Times New Roman" w:hAnsi="Times New Roman" w:cs="Times New Roman"/>
          <w:color w:val="000000"/>
          <w:sz w:val="24"/>
          <w:szCs w:val="24"/>
          <w:lang w:val="en-GB"/>
        </w:rPr>
        <w:t xml:space="preserve"> PS. Rapid treatment reduces hospitalization for paediatric patients with </w:t>
      </w:r>
      <w:proofErr w:type="spellStart"/>
      <w:r w:rsidRPr="006215A1">
        <w:rPr>
          <w:rFonts w:ascii="Times New Roman" w:eastAsia="Times New Roman" w:hAnsi="Times New Roman" w:cs="Times New Roman"/>
          <w:color w:val="000000"/>
          <w:sz w:val="24"/>
          <w:szCs w:val="24"/>
          <w:lang w:val="en-GB"/>
        </w:rPr>
        <w:t>odontogenic</w:t>
      </w:r>
      <w:proofErr w:type="spellEnd"/>
      <w:r w:rsidRPr="006215A1">
        <w:rPr>
          <w:rFonts w:ascii="Times New Roman" w:eastAsia="Times New Roman" w:hAnsi="Times New Roman" w:cs="Times New Roman"/>
          <w:color w:val="000000"/>
          <w:sz w:val="24"/>
          <w:szCs w:val="24"/>
          <w:lang w:val="en-GB"/>
        </w:rPr>
        <w:t xml:space="preserve">-based cellulitis. Am. J. </w:t>
      </w:r>
      <w:proofErr w:type="spellStart"/>
      <w:r w:rsidRPr="006215A1">
        <w:rPr>
          <w:rFonts w:ascii="Times New Roman" w:eastAsia="Times New Roman" w:hAnsi="Times New Roman" w:cs="Times New Roman"/>
          <w:color w:val="000000"/>
          <w:sz w:val="24"/>
          <w:szCs w:val="24"/>
          <w:lang w:val="en-GB"/>
        </w:rPr>
        <w:t>Emerg</w:t>
      </w:r>
      <w:proofErr w:type="spellEnd"/>
      <w:r w:rsidRPr="006215A1">
        <w:rPr>
          <w:rFonts w:ascii="Times New Roman" w:eastAsia="Times New Roman" w:hAnsi="Times New Roman" w:cs="Times New Roman"/>
          <w:color w:val="000000"/>
          <w:sz w:val="24"/>
          <w:szCs w:val="24"/>
          <w:lang w:val="en-GB"/>
        </w:rPr>
        <w:t>. Med. 2010</w:t>
      </w:r>
      <w:proofErr w:type="gramStart"/>
      <w:r w:rsidRPr="006215A1">
        <w:rPr>
          <w:rFonts w:ascii="Times New Roman" w:eastAsia="Times New Roman" w:hAnsi="Times New Roman" w:cs="Times New Roman"/>
          <w:color w:val="000000"/>
          <w:sz w:val="24"/>
          <w:szCs w:val="24"/>
          <w:lang w:val="en-GB"/>
        </w:rPr>
        <w:t>;28:668</w:t>
      </w:r>
      <w:proofErr w:type="gramEnd"/>
      <w:r w:rsidRPr="006215A1">
        <w:rPr>
          <w:rFonts w:ascii="Times New Roman" w:eastAsia="Times New Roman" w:hAnsi="Times New Roman" w:cs="Times New Roman"/>
          <w:color w:val="000000"/>
          <w:sz w:val="24"/>
          <w:szCs w:val="24"/>
          <w:lang w:val="en-GB"/>
        </w:rPr>
        <w:t>-672.</w:t>
      </w: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Pr="006215A1" w:rsidRDefault="00616A85" w:rsidP="00616A85">
      <w:pPr>
        <w:spacing w:after="0" w:line="480" w:lineRule="auto"/>
        <w:contextualSpacing/>
        <w:jc w:val="both"/>
        <w:rPr>
          <w:rFonts w:ascii="Times New Roman" w:eastAsia="Calibri" w:hAnsi="Times New Roman" w:cs="Times New Roman"/>
          <w:color w:val="000000"/>
          <w:sz w:val="24"/>
          <w:szCs w:val="24"/>
          <w:lang w:val="en-GB"/>
        </w:rPr>
      </w:pPr>
    </w:p>
    <w:p w:rsidR="00616A85" w:rsidRPr="006215A1" w:rsidRDefault="00616A85" w:rsidP="00616A85">
      <w:pPr>
        <w:spacing w:after="0" w:line="480" w:lineRule="auto"/>
        <w:jc w:val="both"/>
        <w:rPr>
          <w:rFonts w:ascii="Calibri" w:eastAsia="Calibri" w:hAnsi="Calibri" w:cs="Calibri"/>
          <w:b/>
          <w:bCs/>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b/>
          <w:bCs/>
          <w:color w:val="000000"/>
          <w:sz w:val="24"/>
          <w:szCs w:val="24"/>
        </w:rPr>
      </w:pPr>
      <w:r w:rsidRPr="006215A1">
        <w:rPr>
          <w:rFonts w:ascii="Times New Roman" w:eastAsia="Calibri" w:hAnsi="Times New Roman" w:cs="Times New Roman"/>
          <w:b/>
          <w:bCs/>
          <w:color w:val="000000"/>
          <w:sz w:val="24"/>
          <w:szCs w:val="24"/>
        </w:rPr>
        <w:t>Table 1: Age distribution of patients studied</w:t>
      </w:r>
    </w:p>
    <w:tbl>
      <w:tblPr>
        <w:tblStyle w:val="TableGrid1"/>
        <w:tblW w:w="77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118"/>
        <w:gridCol w:w="2410"/>
      </w:tblGrid>
      <w:tr w:rsidR="00616A85" w:rsidRPr="006215A1" w:rsidTr="006E26EE">
        <w:trPr>
          <w:trHeight w:val="305"/>
        </w:trPr>
        <w:tc>
          <w:tcPr>
            <w:tcW w:w="2235" w:type="dxa"/>
            <w:tcBorders>
              <w:top w:val="single" w:sz="4" w:space="0" w:color="auto"/>
              <w:bottom w:val="single" w:sz="4" w:space="0" w:color="auto"/>
            </w:tcBorders>
          </w:tcPr>
          <w:p w:rsidR="00616A85" w:rsidRPr="006215A1" w:rsidRDefault="00616A85" w:rsidP="006E26EE">
            <w:pPr>
              <w:spacing w:line="480" w:lineRule="auto"/>
              <w:rPr>
                <w:rFonts w:ascii="Times New Roman" w:eastAsia="Calibri" w:hAnsi="Times New Roman" w:cs="Times New Roman"/>
                <w:b/>
                <w:bCs/>
                <w:color w:val="000000"/>
              </w:rPr>
            </w:pPr>
            <w:r w:rsidRPr="006215A1">
              <w:rPr>
                <w:rFonts w:ascii="Times New Roman" w:eastAsia="Calibri" w:hAnsi="Times New Roman" w:cs="Times New Roman"/>
                <w:b/>
                <w:bCs/>
                <w:color w:val="000000"/>
              </w:rPr>
              <w:t>AGE GROUP (Years)</w:t>
            </w:r>
          </w:p>
        </w:tc>
        <w:tc>
          <w:tcPr>
            <w:tcW w:w="3118"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FREQUENCY</w:t>
            </w:r>
          </w:p>
        </w:tc>
        <w:tc>
          <w:tcPr>
            <w:tcW w:w="2410"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PERCENTAGE</w:t>
            </w:r>
          </w:p>
        </w:tc>
      </w:tr>
      <w:tr w:rsidR="00616A85" w:rsidRPr="006215A1" w:rsidTr="006E26EE">
        <w:trPr>
          <w:trHeight w:val="305"/>
        </w:trPr>
        <w:tc>
          <w:tcPr>
            <w:tcW w:w="2235"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&lt;1 year</w:t>
            </w:r>
          </w:p>
        </w:tc>
        <w:tc>
          <w:tcPr>
            <w:tcW w:w="3118"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w:t>
            </w:r>
          </w:p>
        </w:tc>
        <w:tc>
          <w:tcPr>
            <w:tcW w:w="2410"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2.2</w:t>
            </w:r>
          </w:p>
        </w:tc>
      </w:tr>
      <w:tr w:rsidR="00616A85" w:rsidRPr="006215A1" w:rsidTr="006E26EE">
        <w:trPr>
          <w:trHeight w:val="327"/>
        </w:trPr>
        <w:tc>
          <w:tcPr>
            <w:tcW w:w="2235"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 xml:space="preserve">1-3 </w:t>
            </w:r>
          </w:p>
        </w:tc>
        <w:tc>
          <w:tcPr>
            <w:tcW w:w="31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10</w:t>
            </w:r>
          </w:p>
        </w:tc>
        <w:tc>
          <w:tcPr>
            <w:tcW w:w="241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10.8</w:t>
            </w:r>
          </w:p>
        </w:tc>
      </w:tr>
      <w:tr w:rsidR="00616A85" w:rsidRPr="006215A1" w:rsidTr="006E26EE">
        <w:trPr>
          <w:trHeight w:val="327"/>
        </w:trPr>
        <w:tc>
          <w:tcPr>
            <w:tcW w:w="2235"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4-6 </w:t>
            </w:r>
          </w:p>
        </w:tc>
        <w:tc>
          <w:tcPr>
            <w:tcW w:w="31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17</w:t>
            </w:r>
          </w:p>
        </w:tc>
        <w:tc>
          <w:tcPr>
            <w:tcW w:w="241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18.3</w:t>
            </w:r>
          </w:p>
        </w:tc>
      </w:tr>
      <w:tr w:rsidR="00616A85" w:rsidRPr="006215A1" w:rsidTr="006E26EE">
        <w:trPr>
          <w:trHeight w:val="305"/>
        </w:trPr>
        <w:tc>
          <w:tcPr>
            <w:tcW w:w="2235"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7-9 </w:t>
            </w:r>
          </w:p>
        </w:tc>
        <w:tc>
          <w:tcPr>
            <w:tcW w:w="31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18</w:t>
            </w:r>
          </w:p>
        </w:tc>
        <w:tc>
          <w:tcPr>
            <w:tcW w:w="241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19.4</w:t>
            </w:r>
          </w:p>
        </w:tc>
      </w:tr>
      <w:tr w:rsidR="00616A85" w:rsidRPr="006215A1" w:rsidTr="006E26EE">
        <w:trPr>
          <w:trHeight w:val="305"/>
        </w:trPr>
        <w:tc>
          <w:tcPr>
            <w:tcW w:w="2235"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10-12 </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&gt;12</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TOTAL</w:t>
            </w:r>
          </w:p>
        </w:tc>
        <w:tc>
          <w:tcPr>
            <w:tcW w:w="31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27</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19</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93</w:t>
            </w:r>
          </w:p>
        </w:tc>
        <w:tc>
          <w:tcPr>
            <w:tcW w:w="241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29.0</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20.4</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100</w:t>
            </w:r>
          </w:p>
        </w:tc>
      </w:tr>
    </w:tbl>
    <w:p w:rsidR="00616A85" w:rsidRPr="006215A1" w:rsidRDefault="00616A85" w:rsidP="00616A85">
      <w:pPr>
        <w:spacing w:after="0" w:line="480" w:lineRule="auto"/>
        <w:jc w:val="both"/>
        <w:rPr>
          <w:rFonts w:ascii="Times New Roman" w:eastAsia="Calibri" w:hAnsi="Times New Roman" w:cs="Times New Roman"/>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b/>
          <w:bCs/>
          <w:color w:val="000000"/>
          <w:sz w:val="24"/>
          <w:szCs w:val="24"/>
        </w:rPr>
      </w:pPr>
      <w:r w:rsidRPr="006215A1">
        <w:rPr>
          <w:rFonts w:ascii="Times New Roman" w:eastAsia="Calibri" w:hAnsi="Times New Roman" w:cs="Times New Roman"/>
          <w:b/>
          <w:bCs/>
          <w:color w:val="000000"/>
          <w:sz w:val="24"/>
          <w:szCs w:val="24"/>
        </w:rPr>
        <w:t xml:space="preserve">Table 2: Distribution of affected </w:t>
      </w:r>
      <w:proofErr w:type="spellStart"/>
      <w:r w:rsidRPr="006215A1">
        <w:rPr>
          <w:rFonts w:ascii="Times New Roman" w:eastAsia="Calibri" w:hAnsi="Times New Roman" w:cs="Times New Roman"/>
          <w:b/>
          <w:bCs/>
          <w:color w:val="000000"/>
          <w:sz w:val="24"/>
          <w:szCs w:val="24"/>
        </w:rPr>
        <w:t>oro</w:t>
      </w:r>
      <w:proofErr w:type="spellEnd"/>
      <w:r w:rsidRPr="006215A1">
        <w:rPr>
          <w:rFonts w:ascii="Times New Roman" w:eastAsia="Calibri" w:hAnsi="Times New Roman" w:cs="Times New Roman"/>
          <w:b/>
          <w:bCs/>
          <w:color w:val="000000"/>
          <w:sz w:val="24"/>
          <w:szCs w:val="24"/>
        </w:rPr>
        <w:t xml:space="preserve">-facial </w:t>
      </w:r>
      <w:proofErr w:type="spellStart"/>
      <w:r w:rsidRPr="006215A1">
        <w:rPr>
          <w:rFonts w:ascii="Times New Roman" w:eastAsia="Calibri" w:hAnsi="Times New Roman" w:cs="Times New Roman"/>
          <w:b/>
          <w:bCs/>
          <w:color w:val="000000"/>
          <w:sz w:val="24"/>
          <w:szCs w:val="24"/>
        </w:rPr>
        <w:t>fascial</w:t>
      </w:r>
      <w:proofErr w:type="spellEnd"/>
      <w:r w:rsidRPr="006215A1">
        <w:rPr>
          <w:rFonts w:ascii="Times New Roman" w:eastAsia="Calibri" w:hAnsi="Times New Roman" w:cs="Times New Roman"/>
          <w:b/>
          <w:bCs/>
          <w:color w:val="000000"/>
          <w:sz w:val="24"/>
          <w:szCs w:val="24"/>
        </w:rPr>
        <w:t xml:space="preserve"> spaces</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16A85" w:rsidRPr="006215A1" w:rsidTr="006E26EE">
        <w:tc>
          <w:tcPr>
            <w:tcW w:w="3003"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FACIAL SPACE</w:t>
            </w:r>
          </w:p>
        </w:tc>
        <w:tc>
          <w:tcPr>
            <w:tcW w:w="3003"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FREQUENCY</w:t>
            </w:r>
          </w:p>
        </w:tc>
        <w:tc>
          <w:tcPr>
            <w:tcW w:w="3004"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PERCENTAGE</w:t>
            </w:r>
          </w:p>
        </w:tc>
      </w:tr>
      <w:tr w:rsidR="00616A85" w:rsidRPr="006215A1" w:rsidTr="006E26EE">
        <w:tc>
          <w:tcPr>
            <w:tcW w:w="3003" w:type="dxa"/>
            <w:tcBorders>
              <w:top w:val="single" w:sz="4" w:space="0" w:color="auto"/>
            </w:tcBorders>
          </w:tcPr>
          <w:p w:rsidR="00616A85" w:rsidRPr="006215A1" w:rsidRDefault="00616A85" w:rsidP="006E26EE">
            <w:pPr>
              <w:spacing w:line="480" w:lineRule="auto"/>
              <w:rPr>
                <w:rFonts w:ascii="Times New Roman" w:eastAsia="Calibri" w:hAnsi="Times New Roman" w:cs="Times New Roman"/>
                <w:color w:val="000000"/>
              </w:rPr>
            </w:pPr>
            <w:r w:rsidRPr="006215A1">
              <w:rPr>
                <w:rFonts w:ascii="Times New Roman" w:eastAsia="Calibri" w:hAnsi="Times New Roman" w:cs="Times New Roman"/>
                <w:color w:val="000000"/>
              </w:rPr>
              <w:t>Isolated submandibular space (unilateral)</w:t>
            </w:r>
          </w:p>
        </w:tc>
        <w:tc>
          <w:tcPr>
            <w:tcW w:w="3003"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43</w:t>
            </w:r>
          </w:p>
        </w:tc>
        <w:tc>
          <w:tcPr>
            <w:tcW w:w="3004"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46.2</w:t>
            </w:r>
          </w:p>
          <w:p w:rsidR="00616A85" w:rsidRPr="006215A1" w:rsidRDefault="00616A85" w:rsidP="006E26EE">
            <w:pPr>
              <w:spacing w:line="480" w:lineRule="auto"/>
              <w:jc w:val="both"/>
              <w:rPr>
                <w:rFonts w:ascii="Times New Roman" w:eastAsia="Calibri" w:hAnsi="Times New Roman" w:cs="Times New Roman"/>
                <w:color w:val="000000"/>
              </w:rPr>
            </w:pPr>
          </w:p>
        </w:tc>
      </w:tr>
      <w:tr w:rsidR="00616A85" w:rsidRPr="006215A1" w:rsidTr="006E26EE">
        <w:tc>
          <w:tcPr>
            <w:tcW w:w="3003" w:type="dxa"/>
          </w:tcPr>
          <w:p w:rsidR="00616A85" w:rsidRPr="006215A1" w:rsidRDefault="00616A85" w:rsidP="006E26EE">
            <w:pPr>
              <w:spacing w:line="480" w:lineRule="auto"/>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Isolated submandibular space (bilateral)</w:t>
            </w:r>
          </w:p>
        </w:tc>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8</w:t>
            </w:r>
          </w:p>
        </w:tc>
        <w:tc>
          <w:tcPr>
            <w:tcW w:w="3004" w:type="dxa"/>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8.6</w:t>
            </w:r>
          </w:p>
        </w:tc>
      </w:tr>
      <w:tr w:rsidR="00616A85" w:rsidRPr="006215A1" w:rsidTr="006E26EE">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Isolated </w:t>
            </w:r>
            <w:proofErr w:type="spellStart"/>
            <w:r w:rsidRPr="006215A1">
              <w:rPr>
                <w:rFonts w:ascii="Times New Roman" w:eastAsia="Calibri" w:hAnsi="Times New Roman" w:cs="Times New Roman"/>
                <w:color w:val="000000"/>
              </w:rPr>
              <w:t>submental</w:t>
            </w:r>
            <w:proofErr w:type="spellEnd"/>
            <w:r w:rsidRPr="006215A1">
              <w:rPr>
                <w:rFonts w:ascii="Times New Roman" w:eastAsia="Calibri" w:hAnsi="Times New Roman" w:cs="Times New Roman"/>
                <w:color w:val="000000"/>
              </w:rPr>
              <w:t xml:space="preserve"> space</w:t>
            </w:r>
          </w:p>
        </w:tc>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7</w:t>
            </w:r>
          </w:p>
        </w:tc>
        <w:tc>
          <w:tcPr>
            <w:tcW w:w="3004"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7.5</w:t>
            </w:r>
          </w:p>
        </w:tc>
      </w:tr>
      <w:tr w:rsidR="00616A85" w:rsidRPr="006215A1" w:rsidTr="006E26EE">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Classical Ludwig’s</w:t>
            </w:r>
          </w:p>
        </w:tc>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5</w:t>
            </w:r>
          </w:p>
        </w:tc>
        <w:tc>
          <w:tcPr>
            <w:tcW w:w="3004"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5.4</w:t>
            </w:r>
          </w:p>
        </w:tc>
      </w:tr>
      <w:tr w:rsidR="00616A85" w:rsidRPr="006215A1" w:rsidTr="006E26EE">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Buccal</w:t>
            </w:r>
            <w:proofErr w:type="spellEnd"/>
            <w:r w:rsidRPr="006215A1">
              <w:rPr>
                <w:rFonts w:ascii="Times New Roman" w:eastAsia="Calibri" w:hAnsi="Times New Roman" w:cs="Times New Roman"/>
                <w:color w:val="000000"/>
              </w:rPr>
              <w:t>/Canine space</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Temporal spaces</w:t>
            </w:r>
          </w:p>
        </w:tc>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8</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6</w:t>
            </w:r>
          </w:p>
        </w:tc>
        <w:tc>
          <w:tcPr>
            <w:tcW w:w="3004"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8.6</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6.4</w:t>
            </w:r>
          </w:p>
        </w:tc>
      </w:tr>
      <w:tr w:rsidR="00616A85" w:rsidRPr="006215A1" w:rsidTr="006E26EE">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Primary spaces with other adjoining secondary spaces</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 xml:space="preserve">     TOTAL</w:t>
            </w:r>
          </w:p>
        </w:tc>
        <w:tc>
          <w:tcPr>
            <w:tcW w:w="3003" w:type="dxa"/>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16</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93</w:t>
            </w:r>
          </w:p>
        </w:tc>
        <w:tc>
          <w:tcPr>
            <w:tcW w:w="3004" w:type="dxa"/>
          </w:tcPr>
          <w:p w:rsidR="00616A85" w:rsidRPr="006215A1" w:rsidRDefault="00616A85" w:rsidP="006E26EE">
            <w:pPr>
              <w:spacing w:line="480" w:lineRule="auto"/>
              <w:jc w:val="both"/>
              <w:rPr>
                <w:rFonts w:ascii="Times New Roman" w:eastAsia="Calibri" w:hAnsi="Times New Roman" w:cs="Times New Roman"/>
                <w:color w:val="000000"/>
              </w:rPr>
            </w:pP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17.2</w:t>
            </w:r>
          </w:p>
          <w:p w:rsidR="00616A85" w:rsidRPr="006215A1" w:rsidRDefault="00616A85" w:rsidP="006E26EE">
            <w:pPr>
              <w:spacing w:line="480" w:lineRule="auto"/>
              <w:jc w:val="both"/>
              <w:rPr>
                <w:rFonts w:ascii="Times New Roman" w:eastAsia="Calibri" w:hAnsi="Times New Roman" w:cs="Times New Roman"/>
                <w:b/>
                <w:color w:val="000000"/>
              </w:rPr>
            </w:pPr>
            <w:r w:rsidRPr="006215A1">
              <w:rPr>
                <w:rFonts w:ascii="Times New Roman" w:eastAsia="Calibri" w:hAnsi="Times New Roman" w:cs="Times New Roman"/>
                <w:b/>
                <w:color w:val="000000"/>
              </w:rPr>
              <w:t>100</w:t>
            </w:r>
          </w:p>
        </w:tc>
      </w:tr>
    </w:tbl>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numPr>
          <w:ilvl w:val="0"/>
          <w:numId w:val="2"/>
        </w:numPr>
        <w:spacing w:after="0" w:line="480" w:lineRule="auto"/>
        <w:contextualSpacing/>
        <w:jc w:val="both"/>
        <w:rPr>
          <w:rFonts w:ascii="Times New Roman" w:eastAsia="Calibri" w:hAnsi="Times New Roman" w:cs="Times New Roman"/>
          <w:color w:val="000000"/>
          <w:sz w:val="24"/>
          <w:szCs w:val="24"/>
        </w:rPr>
      </w:pPr>
      <w:r w:rsidRPr="006215A1">
        <w:rPr>
          <w:rFonts w:ascii="Times New Roman" w:eastAsia="Calibri" w:hAnsi="Times New Roman" w:cs="Times New Roman"/>
          <w:color w:val="000000"/>
          <w:sz w:val="24"/>
          <w:szCs w:val="24"/>
        </w:rPr>
        <w:t>The adjoining secondary spaces are the secondary spaces in close proximity to the primary spaces.</w:t>
      </w:r>
    </w:p>
    <w:p w:rsidR="00616A85" w:rsidRPr="006215A1" w:rsidRDefault="00616A85" w:rsidP="00616A85">
      <w:pPr>
        <w:spacing w:after="0" w:line="480" w:lineRule="auto"/>
        <w:contextualSpacing/>
        <w:jc w:val="both"/>
        <w:rPr>
          <w:rFonts w:ascii="Calibri" w:eastAsia="Calibri" w:hAnsi="Calibri" w:cs="Calibri"/>
          <w:color w:val="000000"/>
          <w:sz w:val="24"/>
          <w:szCs w:val="24"/>
        </w:rPr>
      </w:pPr>
    </w:p>
    <w:p w:rsidR="00616A85" w:rsidRPr="006215A1" w:rsidRDefault="00616A85" w:rsidP="00616A85">
      <w:pPr>
        <w:spacing w:after="0" w:line="480" w:lineRule="auto"/>
        <w:contextualSpacing/>
        <w:jc w:val="both"/>
        <w:rPr>
          <w:rFonts w:ascii="Calibri" w:eastAsia="Calibri" w:hAnsi="Calibri" w:cs="Calibri"/>
          <w:color w:val="000000"/>
          <w:sz w:val="24"/>
          <w:szCs w:val="24"/>
        </w:rPr>
      </w:pPr>
    </w:p>
    <w:p w:rsidR="00616A85" w:rsidRPr="006215A1" w:rsidRDefault="00616A85" w:rsidP="00616A85">
      <w:pPr>
        <w:spacing w:after="0" w:line="480" w:lineRule="auto"/>
        <w:contextualSpacing/>
        <w:jc w:val="both"/>
        <w:rPr>
          <w:rFonts w:ascii="Calibri" w:eastAsia="Calibri" w:hAnsi="Calibri" w:cs="Calibri"/>
          <w:color w:val="000000"/>
          <w:sz w:val="24"/>
          <w:szCs w:val="24"/>
        </w:rPr>
      </w:pPr>
    </w:p>
    <w:p w:rsidR="00616A85" w:rsidRPr="006215A1" w:rsidRDefault="00616A85" w:rsidP="00616A85">
      <w:pPr>
        <w:spacing w:after="0" w:line="480" w:lineRule="auto"/>
        <w:contextualSpacing/>
        <w:jc w:val="both"/>
        <w:rPr>
          <w:rFonts w:ascii="Calibri" w:eastAsia="Calibri" w:hAnsi="Calibri" w:cs="Calibri"/>
          <w:color w:val="000000"/>
          <w:sz w:val="24"/>
          <w:szCs w:val="24"/>
        </w:rPr>
      </w:pPr>
    </w:p>
    <w:p w:rsidR="00616A85" w:rsidRPr="006215A1" w:rsidRDefault="00616A85" w:rsidP="00616A85">
      <w:pPr>
        <w:spacing w:after="0" w:line="480" w:lineRule="auto"/>
        <w:contextualSpacing/>
        <w:jc w:val="both"/>
        <w:rPr>
          <w:rFonts w:ascii="Calibri" w:eastAsia="Calibri" w:hAnsi="Calibri" w:cs="Calibri"/>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b/>
          <w:bCs/>
          <w:color w:val="000000"/>
          <w:sz w:val="24"/>
          <w:szCs w:val="24"/>
        </w:rPr>
      </w:pPr>
      <w:r w:rsidRPr="006215A1">
        <w:rPr>
          <w:rFonts w:ascii="Times New Roman" w:eastAsia="Calibri" w:hAnsi="Times New Roman" w:cs="Times New Roman"/>
          <w:b/>
          <w:bCs/>
          <w:color w:val="000000"/>
          <w:sz w:val="24"/>
          <w:szCs w:val="24"/>
        </w:rPr>
        <w:t>Table 3: Patients’ place of residence</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693"/>
      </w:tblGrid>
      <w:tr w:rsidR="00616A85" w:rsidRPr="006215A1" w:rsidTr="006E26EE">
        <w:tc>
          <w:tcPr>
            <w:tcW w:w="4503"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PLACE OF RESIDENCE</w:t>
            </w:r>
          </w:p>
        </w:tc>
        <w:tc>
          <w:tcPr>
            <w:tcW w:w="2693"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NUMBER (%)</w:t>
            </w:r>
          </w:p>
        </w:tc>
      </w:tr>
      <w:tr w:rsidR="00616A85" w:rsidRPr="006215A1" w:rsidTr="006E26EE">
        <w:tc>
          <w:tcPr>
            <w:tcW w:w="4503"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Banjul</w:t>
            </w:r>
          </w:p>
        </w:tc>
        <w:tc>
          <w:tcPr>
            <w:tcW w:w="2693"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16 (17.2)</w:t>
            </w:r>
          </w:p>
        </w:tc>
      </w:tr>
      <w:tr w:rsidR="00616A85" w:rsidRPr="006215A1" w:rsidTr="006E26EE">
        <w:tc>
          <w:tcPr>
            <w:tcW w:w="4503" w:type="dxa"/>
          </w:tcPr>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Mariama</w:t>
            </w:r>
            <w:proofErr w:type="spellEnd"/>
            <w:r w:rsidRPr="006215A1">
              <w:rPr>
                <w:rFonts w:ascii="Times New Roman" w:eastAsia="Calibri" w:hAnsi="Times New Roman" w:cs="Times New Roman"/>
                <w:color w:val="000000"/>
              </w:rPr>
              <w:t xml:space="preserve"> </w:t>
            </w:r>
            <w:proofErr w:type="spellStart"/>
            <w:r w:rsidRPr="006215A1">
              <w:rPr>
                <w:rFonts w:ascii="Times New Roman" w:eastAsia="Calibri" w:hAnsi="Times New Roman" w:cs="Times New Roman"/>
                <w:color w:val="000000"/>
              </w:rPr>
              <w:t>Kunda</w:t>
            </w:r>
            <w:proofErr w:type="spellEnd"/>
          </w:p>
        </w:tc>
        <w:tc>
          <w:tcPr>
            <w:tcW w:w="269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16 (17.2)</w:t>
            </w:r>
          </w:p>
        </w:tc>
      </w:tr>
      <w:tr w:rsidR="00616A85" w:rsidRPr="006215A1" w:rsidTr="006E26EE">
        <w:tc>
          <w:tcPr>
            <w:tcW w:w="4503" w:type="dxa"/>
          </w:tcPr>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Brikama</w:t>
            </w:r>
            <w:proofErr w:type="spellEnd"/>
          </w:p>
        </w:tc>
        <w:tc>
          <w:tcPr>
            <w:tcW w:w="269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11 (11.8)</w:t>
            </w:r>
          </w:p>
        </w:tc>
      </w:tr>
      <w:tr w:rsidR="00616A85" w:rsidRPr="006215A1" w:rsidTr="006E26EE">
        <w:tc>
          <w:tcPr>
            <w:tcW w:w="4503" w:type="dxa"/>
          </w:tcPr>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Tabokodo</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lastRenderedPageBreak/>
              <w:t>Serrekunda</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Bundung</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Bansang</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Latrikunda</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Lamin</w:t>
            </w:r>
            <w:proofErr w:type="spellEnd"/>
          </w:p>
          <w:p w:rsidR="00616A85" w:rsidRPr="006215A1" w:rsidRDefault="00616A85" w:rsidP="006E26EE">
            <w:pPr>
              <w:spacing w:line="480" w:lineRule="auto"/>
              <w:jc w:val="both"/>
              <w:rPr>
                <w:rFonts w:ascii="Times New Roman" w:eastAsia="Calibri" w:hAnsi="Times New Roman" w:cs="Times New Roman"/>
                <w:color w:val="000000"/>
              </w:rPr>
            </w:pPr>
            <w:proofErr w:type="spellStart"/>
            <w:r w:rsidRPr="006215A1">
              <w:rPr>
                <w:rFonts w:ascii="Times New Roman" w:eastAsia="Calibri" w:hAnsi="Times New Roman" w:cs="Times New Roman"/>
                <w:color w:val="000000"/>
              </w:rPr>
              <w:t>Bakau</w:t>
            </w:r>
            <w:proofErr w:type="spellEnd"/>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Others</w:t>
            </w:r>
          </w:p>
        </w:tc>
        <w:tc>
          <w:tcPr>
            <w:tcW w:w="2693"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10 (10.8)</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9 (9.7)</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8 (8.6)</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7 (7.5)</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6 (6.5)</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  4 (4.3)</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3 (3.2)</w:t>
            </w:r>
          </w:p>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3 (3.2)</w:t>
            </w:r>
          </w:p>
        </w:tc>
      </w:tr>
    </w:tbl>
    <w:p w:rsidR="00616A85" w:rsidRPr="006215A1" w:rsidRDefault="00616A85" w:rsidP="00616A85">
      <w:pPr>
        <w:spacing w:after="0" w:line="480" w:lineRule="auto"/>
        <w:jc w:val="both"/>
        <w:rPr>
          <w:rFonts w:ascii="Times New Roman" w:eastAsia="Calibri" w:hAnsi="Times New Roman" w:cs="Times New Roman"/>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Pr="006215A1" w:rsidRDefault="00616A85" w:rsidP="00616A85">
      <w:pPr>
        <w:spacing w:after="0" w:line="480" w:lineRule="auto"/>
        <w:jc w:val="both"/>
        <w:rPr>
          <w:rFonts w:ascii="Calibri" w:eastAsia="Calibri" w:hAnsi="Calibri" w:cs="Calibri"/>
          <w:color w:val="000000"/>
          <w:sz w:val="24"/>
          <w:szCs w:val="24"/>
        </w:rPr>
      </w:pPr>
    </w:p>
    <w:p w:rsidR="00616A85" w:rsidRDefault="00616A85" w:rsidP="00616A85">
      <w:pPr>
        <w:spacing w:after="0" w:line="480" w:lineRule="auto"/>
        <w:jc w:val="both"/>
        <w:rPr>
          <w:rFonts w:ascii="Times New Roman" w:eastAsia="Calibri" w:hAnsi="Times New Roman" w:cs="Times New Roman"/>
          <w:b/>
          <w:bCs/>
          <w:color w:val="000000"/>
          <w:sz w:val="24"/>
          <w:szCs w:val="24"/>
        </w:rPr>
      </w:pPr>
    </w:p>
    <w:p w:rsidR="00616A85" w:rsidRPr="006215A1" w:rsidRDefault="00616A85" w:rsidP="00616A85">
      <w:pPr>
        <w:spacing w:after="0" w:line="480" w:lineRule="auto"/>
        <w:jc w:val="both"/>
        <w:rPr>
          <w:rFonts w:ascii="Times New Roman" w:eastAsia="Calibri" w:hAnsi="Times New Roman" w:cs="Times New Roman"/>
          <w:b/>
          <w:bCs/>
          <w:color w:val="000000"/>
          <w:sz w:val="24"/>
          <w:szCs w:val="24"/>
        </w:rPr>
      </w:pPr>
      <w:r w:rsidRPr="006215A1">
        <w:rPr>
          <w:rFonts w:ascii="Times New Roman" w:eastAsia="Calibri" w:hAnsi="Times New Roman" w:cs="Times New Roman"/>
          <w:b/>
          <w:bCs/>
          <w:color w:val="000000"/>
          <w:sz w:val="24"/>
          <w:szCs w:val="24"/>
        </w:rPr>
        <w:t>Table 4: Distribution of extracted teeth in patients studied</w:t>
      </w:r>
    </w:p>
    <w:tbl>
      <w:tblPr>
        <w:tblStyle w:val="TableGrid1"/>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58"/>
        <w:gridCol w:w="1658"/>
        <w:gridCol w:w="2098"/>
      </w:tblGrid>
      <w:tr w:rsidR="00616A85" w:rsidRPr="006215A1" w:rsidTr="006E26EE">
        <w:tc>
          <w:tcPr>
            <w:tcW w:w="1658"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
                <w:bCs/>
                <w:color w:val="000000"/>
              </w:rPr>
              <w:t>Age group</w:t>
            </w:r>
          </w:p>
        </w:tc>
        <w:tc>
          <w:tcPr>
            <w:tcW w:w="1658"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Anterior teeth</w:t>
            </w:r>
          </w:p>
        </w:tc>
        <w:tc>
          <w:tcPr>
            <w:tcW w:w="1658"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
                <w:bCs/>
                <w:color w:val="000000"/>
              </w:rPr>
              <w:t>Posterior teeth</w:t>
            </w:r>
          </w:p>
        </w:tc>
        <w:tc>
          <w:tcPr>
            <w:tcW w:w="2098"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
                <w:color w:val="000000"/>
              </w:rPr>
            </w:pPr>
            <w:r w:rsidRPr="006215A1">
              <w:rPr>
                <w:rFonts w:ascii="Times New Roman" w:eastAsia="Calibri" w:hAnsi="Times New Roman" w:cs="Times New Roman"/>
                <w:b/>
                <w:color w:val="000000"/>
              </w:rPr>
              <w:t>Total carious teeth</w:t>
            </w:r>
          </w:p>
        </w:tc>
      </w:tr>
      <w:tr w:rsidR="00616A85" w:rsidRPr="006215A1" w:rsidTr="006E26EE">
        <w:tc>
          <w:tcPr>
            <w:tcW w:w="1658"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&lt;1 year</w:t>
            </w:r>
          </w:p>
        </w:tc>
        <w:tc>
          <w:tcPr>
            <w:tcW w:w="1658"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w:t>
            </w:r>
          </w:p>
        </w:tc>
        <w:tc>
          <w:tcPr>
            <w:tcW w:w="1658" w:type="dxa"/>
            <w:tcBorders>
              <w:top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w:t>
            </w:r>
          </w:p>
        </w:tc>
        <w:tc>
          <w:tcPr>
            <w:tcW w:w="2098" w:type="dxa"/>
            <w:tcBorders>
              <w:top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1-3 years</w:t>
            </w:r>
          </w:p>
        </w:tc>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4</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4</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4-6 years</w:t>
            </w:r>
          </w:p>
        </w:tc>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3</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4</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7-9 years</w:t>
            </w:r>
          </w:p>
        </w:tc>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22</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24</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10-12 years</w:t>
            </w:r>
          </w:p>
        </w:tc>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25</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29</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&gt;12 years</w:t>
            </w:r>
          </w:p>
        </w:tc>
        <w:tc>
          <w:tcPr>
            <w:tcW w:w="165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16</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18</w:t>
            </w:r>
          </w:p>
        </w:tc>
      </w:tr>
      <w:tr w:rsidR="00616A85" w:rsidRPr="006215A1" w:rsidTr="006E26EE">
        <w:tc>
          <w:tcPr>
            <w:tcW w:w="1658"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 xml:space="preserve"> Total</w:t>
            </w:r>
          </w:p>
        </w:tc>
        <w:tc>
          <w:tcPr>
            <w:tcW w:w="1658"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9</w:t>
            </w:r>
          </w:p>
        </w:tc>
        <w:tc>
          <w:tcPr>
            <w:tcW w:w="1658" w:type="dxa"/>
          </w:tcPr>
          <w:p w:rsidR="00616A85" w:rsidRPr="006215A1" w:rsidRDefault="00616A85" w:rsidP="006E26EE">
            <w:pPr>
              <w:spacing w:line="480" w:lineRule="auto"/>
              <w:ind w:right="-194"/>
              <w:contextualSpacing/>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72</w:t>
            </w:r>
          </w:p>
        </w:tc>
        <w:tc>
          <w:tcPr>
            <w:tcW w:w="2098" w:type="dxa"/>
          </w:tcPr>
          <w:p w:rsidR="00616A85" w:rsidRPr="006215A1" w:rsidRDefault="00616A85" w:rsidP="006E26EE">
            <w:pPr>
              <w:spacing w:line="480" w:lineRule="auto"/>
              <w:ind w:right="-194"/>
              <w:contextualSpacing/>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81</w:t>
            </w:r>
          </w:p>
        </w:tc>
      </w:tr>
    </w:tbl>
    <w:p w:rsidR="00616A85" w:rsidRPr="006215A1" w:rsidRDefault="00616A85" w:rsidP="00616A85">
      <w:pPr>
        <w:spacing w:after="0" w:line="480" w:lineRule="auto"/>
        <w:ind w:right="-194"/>
        <w:contextualSpacing/>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Key</w:t>
      </w:r>
    </w:p>
    <w:p w:rsidR="00616A85" w:rsidRPr="006215A1" w:rsidRDefault="00616A85" w:rsidP="00616A85">
      <w:pPr>
        <w:spacing w:after="0" w:line="480" w:lineRule="auto"/>
        <w:ind w:right="-194"/>
        <w:contextualSpacing/>
        <w:jc w:val="both"/>
        <w:rPr>
          <w:rFonts w:ascii="Times New Roman" w:eastAsia="Calibri" w:hAnsi="Times New Roman" w:cs="Times New Roman"/>
          <w:bCs/>
          <w:color w:val="000000"/>
          <w:sz w:val="24"/>
          <w:szCs w:val="24"/>
        </w:rPr>
      </w:pPr>
      <w:r w:rsidRPr="006215A1">
        <w:rPr>
          <w:rFonts w:ascii="Times New Roman" w:eastAsia="Calibri" w:hAnsi="Times New Roman" w:cs="Times New Roman"/>
          <w:bCs/>
          <w:color w:val="000000"/>
          <w:sz w:val="24"/>
          <w:szCs w:val="24"/>
        </w:rPr>
        <w:t>*Posterior teeth: Deciduous posterior teeth (DE) and Permanent Posterior teeth (Premolars, first and second molars).</w:t>
      </w:r>
    </w:p>
    <w:p w:rsidR="00616A85" w:rsidRPr="006215A1" w:rsidRDefault="00616A85" w:rsidP="00616A85">
      <w:pPr>
        <w:spacing w:after="0" w:line="480" w:lineRule="auto"/>
        <w:ind w:right="-194"/>
        <w:contextualSpacing/>
        <w:jc w:val="both"/>
        <w:rPr>
          <w:rFonts w:ascii="Times New Roman" w:eastAsia="Calibri" w:hAnsi="Times New Roman" w:cs="Times New Roman"/>
          <w:bCs/>
          <w:color w:val="000000"/>
          <w:sz w:val="24"/>
          <w:szCs w:val="24"/>
        </w:rPr>
      </w:pPr>
      <w:r w:rsidRPr="006215A1">
        <w:rPr>
          <w:rFonts w:ascii="Times New Roman" w:eastAsia="Calibri" w:hAnsi="Times New Roman" w:cs="Times New Roman"/>
          <w:bCs/>
          <w:color w:val="000000"/>
          <w:sz w:val="24"/>
          <w:szCs w:val="24"/>
        </w:rPr>
        <w:t>*Anterior teeth: Deciduous and permanent central/lateral incisors and canines</w:t>
      </w: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ind w:right="-194"/>
        <w:contextualSpacing/>
        <w:jc w:val="both"/>
        <w:rPr>
          <w:rFonts w:ascii="Calibri" w:eastAsia="Calibri" w:hAnsi="Calibri" w:cs="Calibri"/>
          <w:bCs/>
          <w:color w:val="000000"/>
          <w:sz w:val="24"/>
          <w:szCs w:val="24"/>
        </w:rPr>
      </w:pPr>
    </w:p>
    <w:p w:rsidR="00616A85" w:rsidRPr="006215A1" w:rsidRDefault="00616A85" w:rsidP="00616A85">
      <w:pPr>
        <w:spacing w:after="0" w:line="480" w:lineRule="auto"/>
        <w:jc w:val="both"/>
        <w:rPr>
          <w:rFonts w:ascii="Calibri" w:eastAsia="Calibri" w:hAnsi="Calibri" w:cs="Calibri"/>
          <w:b/>
          <w:bCs/>
          <w:color w:val="000000"/>
          <w:sz w:val="24"/>
          <w:szCs w:val="24"/>
          <w:lang w:val="en-GB"/>
        </w:rPr>
      </w:pPr>
    </w:p>
    <w:p w:rsidR="00616A85" w:rsidRDefault="00616A85" w:rsidP="00616A85">
      <w:pPr>
        <w:spacing w:after="0" w:line="480" w:lineRule="auto"/>
        <w:jc w:val="both"/>
        <w:rPr>
          <w:rFonts w:ascii="Times New Roman" w:eastAsia="Calibri" w:hAnsi="Times New Roman" w:cs="Times New Roman"/>
          <w:b/>
          <w:bCs/>
          <w:color w:val="000000"/>
          <w:sz w:val="24"/>
          <w:szCs w:val="24"/>
          <w:lang w:val="en-GB"/>
        </w:rPr>
      </w:pPr>
    </w:p>
    <w:p w:rsidR="00616A85" w:rsidRPr="006215A1" w:rsidRDefault="00616A85" w:rsidP="00616A85">
      <w:pPr>
        <w:spacing w:after="0" w:line="480" w:lineRule="auto"/>
        <w:jc w:val="both"/>
        <w:rPr>
          <w:rFonts w:ascii="Times New Roman" w:eastAsia="Calibri" w:hAnsi="Times New Roman" w:cs="Times New Roman"/>
          <w:b/>
          <w:bCs/>
          <w:color w:val="000000"/>
          <w:sz w:val="24"/>
          <w:szCs w:val="24"/>
          <w:lang w:val="en-GB"/>
        </w:rPr>
      </w:pPr>
      <w:r w:rsidRPr="006215A1">
        <w:rPr>
          <w:rFonts w:ascii="Times New Roman" w:eastAsia="Calibri" w:hAnsi="Times New Roman" w:cs="Times New Roman"/>
          <w:b/>
          <w:bCs/>
          <w:color w:val="000000"/>
          <w:sz w:val="24"/>
          <w:szCs w:val="24"/>
          <w:lang w:val="en-GB"/>
        </w:rPr>
        <w:t>Table 5: Extracted teeth (n=81)</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1470"/>
      </w:tblGrid>
      <w:tr w:rsidR="00616A85" w:rsidRPr="006215A1" w:rsidTr="006E26EE">
        <w:tc>
          <w:tcPr>
            <w:tcW w:w="5920"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Extracted teeth</w:t>
            </w:r>
          </w:p>
        </w:tc>
        <w:tc>
          <w:tcPr>
            <w:tcW w:w="1418" w:type="dxa"/>
            <w:tcBorders>
              <w:top w:val="single" w:sz="4" w:space="0" w:color="auto"/>
              <w:bottom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proofErr w:type="gramStart"/>
            <w:r w:rsidRPr="006215A1">
              <w:rPr>
                <w:rFonts w:ascii="Times New Roman" w:eastAsia="Calibri" w:hAnsi="Times New Roman" w:cs="Times New Roman"/>
                <w:b/>
                <w:bCs/>
                <w:color w:val="000000"/>
              </w:rPr>
              <w:t>Number(</w:t>
            </w:r>
            <w:proofErr w:type="gramEnd"/>
            <w:r w:rsidRPr="006215A1">
              <w:rPr>
                <w:rFonts w:ascii="Times New Roman" w:eastAsia="Calibri" w:hAnsi="Times New Roman" w:cs="Times New Roman"/>
                <w:b/>
                <w:bCs/>
                <w:color w:val="000000"/>
              </w:rPr>
              <w:t xml:space="preserve">%) </w:t>
            </w:r>
          </w:p>
        </w:tc>
      </w:tr>
      <w:tr w:rsidR="00616A85" w:rsidRPr="006215A1" w:rsidTr="006E26EE">
        <w:tc>
          <w:tcPr>
            <w:tcW w:w="5920"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Anterior teeth</w:t>
            </w:r>
          </w:p>
        </w:tc>
        <w:tc>
          <w:tcPr>
            <w:tcW w:w="1418"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color w:val="000000"/>
              </w:rPr>
              <w:t>Deciduous central incisor-A</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2 (2.47)</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color w:val="000000"/>
              </w:rPr>
              <w:t>Deciduous lateral incisor- B</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Deciduous canine- C</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Permanent central incisor-1</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 (4.94)</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Permanent lateral incisor 2</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3 (3.70)</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Permanent canine-3</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b/>
                <w:bCs/>
                <w:color w:val="000000"/>
              </w:rPr>
              <w:t>Total teeth extracted (Anterior)</w:t>
            </w:r>
          </w:p>
        </w:tc>
        <w:tc>
          <w:tcPr>
            <w:tcW w:w="1418"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 xml:space="preserve">   9 (11.11)</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Posterior teeth</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First deciduous molar= D</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 xml:space="preserve"> 3 (3.70)</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Second deciduous molar -E</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18 (22.22)</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First premolar -4</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 (1.23)</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Second premolar -5</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 (1.23)</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First permanent molar-6</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45 (55.56)</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Second permanent molar -7</w:t>
            </w:r>
          </w:p>
        </w:tc>
        <w:tc>
          <w:tcPr>
            <w:tcW w:w="1418"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 (4.94)</w:t>
            </w:r>
          </w:p>
        </w:tc>
      </w:tr>
      <w:tr w:rsidR="00616A85" w:rsidRPr="006215A1" w:rsidTr="006E26EE">
        <w:tc>
          <w:tcPr>
            <w:tcW w:w="5920"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b/>
                <w:bCs/>
                <w:color w:val="000000"/>
              </w:rPr>
              <w:t>Total teeth extracted (Posterior)</w:t>
            </w:r>
          </w:p>
        </w:tc>
        <w:tc>
          <w:tcPr>
            <w:tcW w:w="1418"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72 (88.89)</w:t>
            </w:r>
          </w:p>
        </w:tc>
      </w:tr>
    </w:tbl>
    <w:p w:rsidR="00616A85" w:rsidRPr="006215A1" w:rsidRDefault="00616A85" w:rsidP="00616A85">
      <w:pPr>
        <w:spacing w:after="0" w:line="480" w:lineRule="auto"/>
        <w:jc w:val="both"/>
        <w:rPr>
          <w:rFonts w:ascii="Times New Roman" w:eastAsia="Calibri" w:hAnsi="Times New Roman" w:cs="Times New Roman"/>
          <w:color w:val="000000"/>
          <w:sz w:val="24"/>
          <w:szCs w:val="24"/>
          <w:lang w:val="en-GB"/>
        </w:rPr>
      </w:pPr>
    </w:p>
    <w:p w:rsidR="00616A85" w:rsidRPr="006215A1" w:rsidRDefault="00616A85" w:rsidP="00616A85">
      <w:pPr>
        <w:spacing w:after="0" w:line="480" w:lineRule="auto"/>
        <w:ind w:right="-194"/>
        <w:jc w:val="both"/>
        <w:rPr>
          <w:rFonts w:ascii="Calibri" w:eastAsia="Calibri" w:hAnsi="Calibri" w:cs="Calibri"/>
          <w:bCs/>
          <w:color w:val="000000"/>
          <w:sz w:val="24"/>
          <w:szCs w:val="24"/>
        </w:rPr>
      </w:pPr>
    </w:p>
    <w:p w:rsidR="00616A85" w:rsidRPr="006215A1" w:rsidRDefault="00616A85" w:rsidP="00616A85">
      <w:pPr>
        <w:spacing w:after="0" w:line="480" w:lineRule="auto"/>
        <w:ind w:right="-194"/>
        <w:jc w:val="both"/>
        <w:rPr>
          <w:rFonts w:ascii="Calibri" w:eastAsia="Calibri" w:hAnsi="Calibri" w:cs="Calibri"/>
          <w:bCs/>
          <w:color w:val="000000"/>
          <w:sz w:val="24"/>
          <w:szCs w:val="24"/>
        </w:rPr>
      </w:pPr>
    </w:p>
    <w:p w:rsidR="00616A85" w:rsidRPr="006215A1" w:rsidRDefault="00616A85" w:rsidP="00616A85">
      <w:pPr>
        <w:spacing w:after="0" w:line="480" w:lineRule="auto"/>
        <w:ind w:right="-194"/>
        <w:jc w:val="both"/>
        <w:rPr>
          <w:rFonts w:ascii="Calibri" w:eastAsia="Calibri" w:hAnsi="Calibri" w:cs="Calibri"/>
          <w:bCs/>
          <w:color w:val="000000"/>
          <w:sz w:val="24"/>
          <w:szCs w:val="24"/>
        </w:rPr>
      </w:pPr>
    </w:p>
    <w:p w:rsidR="00616A85" w:rsidRPr="006215A1" w:rsidRDefault="00616A85" w:rsidP="00616A85">
      <w:pPr>
        <w:spacing w:after="0" w:line="480" w:lineRule="auto"/>
        <w:ind w:right="-194"/>
        <w:jc w:val="both"/>
        <w:rPr>
          <w:rFonts w:ascii="Calibri" w:eastAsia="Calibri" w:hAnsi="Calibri" w:cs="Calibri"/>
          <w:b/>
          <w:color w:val="000000"/>
          <w:sz w:val="24"/>
          <w:szCs w:val="24"/>
        </w:rPr>
      </w:pPr>
    </w:p>
    <w:p w:rsidR="00616A85" w:rsidRPr="006215A1" w:rsidRDefault="00616A85" w:rsidP="00616A85">
      <w:pPr>
        <w:spacing w:after="0" w:line="480" w:lineRule="auto"/>
        <w:ind w:right="-194"/>
        <w:contextualSpacing/>
        <w:jc w:val="both"/>
        <w:rPr>
          <w:rFonts w:ascii="Times New Roman" w:eastAsia="Calibri" w:hAnsi="Times New Roman" w:cs="Times New Roman"/>
          <w:b/>
          <w:color w:val="000000"/>
          <w:sz w:val="24"/>
          <w:szCs w:val="24"/>
        </w:rPr>
      </w:pPr>
      <w:r w:rsidRPr="006215A1">
        <w:rPr>
          <w:rFonts w:ascii="Times New Roman" w:eastAsia="Calibri" w:hAnsi="Times New Roman" w:cs="Times New Roman"/>
          <w:b/>
          <w:color w:val="000000"/>
          <w:sz w:val="24"/>
          <w:szCs w:val="24"/>
        </w:rPr>
        <w:t>Table 6: Distribution of origins of non-</w:t>
      </w:r>
      <w:proofErr w:type="spellStart"/>
      <w:r w:rsidRPr="006215A1">
        <w:rPr>
          <w:rFonts w:ascii="Times New Roman" w:eastAsia="Calibri" w:hAnsi="Times New Roman" w:cs="Times New Roman"/>
          <w:b/>
          <w:color w:val="000000"/>
          <w:sz w:val="24"/>
          <w:szCs w:val="24"/>
        </w:rPr>
        <w:t>odontogenic</w:t>
      </w:r>
      <w:proofErr w:type="spellEnd"/>
      <w:r w:rsidRPr="006215A1">
        <w:rPr>
          <w:rFonts w:ascii="Times New Roman" w:eastAsia="Calibri" w:hAnsi="Times New Roman" w:cs="Times New Roman"/>
          <w:b/>
          <w:color w:val="000000"/>
          <w:sz w:val="24"/>
          <w:szCs w:val="24"/>
        </w:rPr>
        <w:t xml:space="preserve"> infection</w:t>
      </w:r>
    </w:p>
    <w:tbl>
      <w:tblPr>
        <w:tblStyle w:val="TableGrid1"/>
        <w:tblW w:w="8534" w:type="dxa"/>
        <w:tblInd w:w="-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3776"/>
        <w:gridCol w:w="1070"/>
        <w:gridCol w:w="2279"/>
      </w:tblGrid>
      <w:tr w:rsidR="00616A85" w:rsidRPr="006215A1" w:rsidTr="006E26EE">
        <w:tc>
          <w:tcPr>
            <w:tcW w:w="1426"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
                <w:bCs/>
                <w:color w:val="000000"/>
              </w:rPr>
              <w:t>Age group</w:t>
            </w:r>
          </w:p>
        </w:tc>
        <w:tc>
          <w:tcPr>
            <w:tcW w:w="3842"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
                <w:color w:val="000000"/>
              </w:rPr>
            </w:pPr>
            <w:r w:rsidRPr="006215A1">
              <w:rPr>
                <w:rFonts w:ascii="Times New Roman" w:eastAsia="Calibri" w:hAnsi="Times New Roman" w:cs="Times New Roman"/>
                <w:b/>
                <w:color w:val="000000"/>
              </w:rPr>
              <w:t>Origin of Infection</w:t>
            </w:r>
          </w:p>
        </w:tc>
        <w:tc>
          <w:tcPr>
            <w:tcW w:w="970"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
                <w:color w:val="000000"/>
              </w:rPr>
            </w:pPr>
            <w:r w:rsidRPr="006215A1">
              <w:rPr>
                <w:rFonts w:ascii="Times New Roman" w:eastAsia="Calibri" w:hAnsi="Times New Roman" w:cs="Times New Roman"/>
                <w:b/>
                <w:color w:val="000000"/>
              </w:rPr>
              <w:t>Number</w:t>
            </w:r>
          </w:p>
        </w:tc>
        <w:tc>
          <w:tcPr>
            <w:tcW w:w="2296" w:type="dxa"/>
            <w:tcBorders>
              <w:top w:val="single" w:sz="4" w:space="0" w:color="auto"/>
              <w:bottom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
                <w:color w:val="000000"/>
              </w:rPr>
            </w:pPr>
            <w:r w:rsidRPr="006215A1">
              <w:rPr>
                <w:rFonts w:ascii="Times New Roman" w:eastAsia="Calibri" w:hAnsi="Times New Roman" w:cs="Times New Roman"/>
                <w:b/>
                <w:color w:val="000000"/>
              </w:rPr>
              <w:t xml:space="preserve">Involved </w:t>
            </w:r>
            <w:proofErr w:type="spellStart"/>
            <w:r w:rsidRPr="006215A1">
              <w:rPr>
                <w:rFonts w:ascii="Times New Roman" w:eastAsia="Calibri" w:hAnsi="Times New Roman" w:cs="Times New Roman"/>
                <w:b/>
                <w:color w:val="000000"/>
              </w:rPr>
              <w:t>fascial</w:t>
            </w:r>
            <w:proofErr w:type="spellEnd"/>
            <w:r w:rsidRPr="006215A1">
              <w:rPr>
                <w:rFonts w:ascii="Times New Roman" w:eastAsia="Calibri" w:hAnsi="Times New Roman" w:cs="Times New Roman"/>
                <w:b/>
                <w:color w:val="000000"/>
              </w:rPr>
              <w:t xml:space="preserve"> space</w:t>
            </w:r>
          </w:p>
        </w:tc>
      </w:tr>
      <w:tr w:rsidR="00616A85" w:rsidRPr="006215A1" w:rsidTr="006E26EE">
        <w:tc>
          <w:tcPr>
            <w:tcW w:w="1426" w:type="dxa"/>
            <w:tcBorders>
              <w:top w:val="single" w:sz="4" w:space="0" w:color="auto"/>
            </w:tcBorders>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&lt;1 year</w:t>
            </w:r>
          </w:p>
        </w:tc>
        <w:tc>
          <w:tcPr>
            <w:tcW w:w="3842" w:type="dxa"/>
            <w:tcBorders>
              <w:top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Ulcer on the crest of the mandibular</w:t>
            </w:r>
          </w:p>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alveolar ridge</w:t>
            </w:r>
          </w:p>
        </w:tc>
        <w:tc>
          <w:tcPr>
            <w:tcW w:w="970" w:type="dxa"/>
            <w:tcBorders>
              <w:top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1</w:t>
            </w:r>
          </w:p>
        </w:tc>
        <w:tc>
          <w:tcPr>
            <w:tcW w:w="2296" w:type="dxa"/>
            <w:tcBorders>
              <w:top w:val="single" w:sz="4" w:space="0" w:color="auto"/>
            </w:tcBorders>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w:t>
            </w:r>
            <w:proofErr w:type="spellStart"/>
            <w:r w:rsidRPr="006215A1">
              <w:rPr>
                <w:rFonts w:ascii="Times New Roman" w:eastAsia="Calibri" w:hAnsi="Times New Roman" w:cs="Times New Roman"/>
                <w:bCs/>
                <w:color w:val="000000"/>
              </w:rPr>
              <w:t>Submental</w:t>
            </w:r>
            <w:proofErr w:type="spellEnd"/>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1-3 years</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proofErr w:type="spellStart"/>
            <w:r w:rsidRPr="006215A1">
              <w:rPr>
                <w:rFonts w:ascii="Times New Roman" w:eastAsia="Calibri" w:hAnsi="Times New Roman" w:cs="Times New Roman"/>
                <w:bCs/>
                <w:color w:val="000000"/>
              </w:rPr>
              <w:t>Sialadenitis</w:t>
            </w:r>
            <w:proofErr w:type="spellEnd"/>
            <w:r w:rsidRPr="006215A1">
              <w:rPr>
                <w:rFonts w:ascii="Times New Roman" w:eastAsia="Calibri" w:hAnsi="Times New Roman" w:cs="Times New Roman"/>
                <w:bCs/>
                <w:color w:val="000000"/>
              </w:rPr>
              <w:t xml:space="preserve"> of the</w:t>
            </w:r>
          </w:p>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Minor salivary gland</w:t>
            </w: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5</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Submandibular</w:t>
            </w:r>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4-6 years</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Ulcer in the floor of the mouth </w:t>
            </w:r>
          </w:p>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(around the lingual </w:t>
            </w:r>
            <w:proofErr w:type="spellStart"/>
            <w:r w:rsidRPr="006215A1">
              <w:rPr>
                <w:rFonts w:ascii="Times New Roman" w:eastAsia="Calibri" w:hAnsi="Times New Roman" w:cs="Times New Roman"/>
                <w:bCs/>
                <w:color w:val="000000"/>
              </w:rPr>
              <w:t>frenum</w:t>
            </w:r>
            <w:proofErr w:type="spellEnd"/>
            <w:r w:rsidRPr="006215A1">
              <w:rPr>
                <w:rFonts w:ascii="Times New Roman" w:eastAsia="Calibri" w:hAnsi="Times New Roman" w:cs="Times New Roman"/>
                <w:bCs/>
                <w:color w:val="000000"/>
              </w:rPr>
              <w:t>)</w:t>
            </w: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1</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w:t>
            </w:r>
            <w:proofErr w:type="spellStart"/>
            <w:r w:rsidRPr="006215A1">
              <w:rPr>
                <w:rFonts w:ascii="Times New Roman" w:eastAsia="Calibri" w:hAnsi="Times New Roman" w:cs="Times New Roman"/>
                <w:bCs/>
                <w:color w:val="000000"/>
              </w:rPr>
              <w:t>Submental</w:t>
            </w:r>
            <w:proofErr w:type="spellEnd"/>
            <w:r w:rsidRPr="006215A1">
              <w:rPr>
                <w:rFonts w:ascii="Times New Roman" w:eastAsia="Calibri" w:hAnsi="Times New Roman" w:cs="Times New Roman"/>
                <w:bCs/>
                <w:color w:val="000000"/>
              </w:rPr>
              <w:t xml:space="preserve"> </w:t>
            </w:r>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7-9 years</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Fish bone impaction</w:t>
            </w: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2</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Submandibular</w:t>
            </w:r>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lastRenderedPageBreak/>
              <w:t>10-12 years</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Infected tongue injury</w:t>
            </w: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1 </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w:t>
            </w:r>
            <w:proofErr w:type="spellStart"/>
            <w:r w:rsidRPr="006215A1">
              <w:rPr>
                <w:rFonts w:ascii="Times New Roman" w:eastAsia="Calibri" w:hAnsi="Times New Roman" w:cs="Times New Roman"/>
                <w:bCs/>
                <w:color w:val="000000"/>
              </w:rPr>
              <w:t>Submental</w:t>
            </w:r>
            <w:proofErr w:type="spellEnd"/>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color w:val="000000"/>
              </w:rPr>
            </w:pPr>
            <w:r w:rsidRPr="006215A1">
              <w:rPr>
                <w:rFonts w:ascii="Times New Roman" w:eastAsia="Calibri" w:hAnsi="Times New Roman" w:cs="Times New Roman"/>
                <w:color w:val="000000"/>
              </w:rPr>
              <w:t>&gt;12 years</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Periodontitis</w:t>
            </w: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2</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Cs/>
                <w:color w:val="000000"/>
              </w:rPr>
            </w:pPr>
            <w:r w:rsidRPr="006215A1">
              <w:rPr>
                <w:rFonts w:ascii="Times New Roman" w:eastAsia="Calibri" w:hAnsi="Times New Roman" w:cs="Times New Roman"/>
                <w:bCs/>
                <w:color w:val="000000"/>
              </w:rPr>
              <w:t xml:space="preserve">      Submandibular</w:t>
            </w:r>
          </w:p>
        </w:tc>
      </w:tr>
      <w:tr w:rsidR="00616A85" w:rsidRPr="006215A1" w:rsidTr="006E26EE">
        <w:tc>
          <w:tcPr>
            <w:tcW w:w="1426" w:type="dxa"/>
          </w:tcPr>
          <w:p w:rsidR="00616A85" w:rsidRPr="006215A1" w:rsidRDefault="00616A85" w:rsidP="006E26EE">
            <w:pPr>
              <w:spacing w:line="480" w:lineRule="auto"/>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Total</w:t>
            </w:r>
          </w:p>
        </w:tc>
        <w:tc>
          <w:tcPr>
            <w:tcW w:w="3842" w:type="dxa"/>
          </w:tcPr>
          <w:p w:rsidR="00616A85" w:rsidRPr="006215A1" w:rsidRDefault="00616A85" w:rsidP="006E26EE">
            <w:pPr>
              <w:spacing w:line="480" w:lineRule="auto"/>
              <w:ind w:right="-194"/>
              <w:contextualSpacing/>
              <w:jc w:val="both"/>
              <w:rPr>
                <w:rFonts w:ascii="Times New Roman" w:eastAsia="Calibri" w:hAnsi="Times New Roman" w:cs="Times New Roman"/>
                <w:b/>
                <w:bCs/>
                <w:color w:val="000000"/>
              </w:rPr>
            </w:pPr>
          </w:p>
        </w:tc>
        <w:tc>
          <w:tcPr>
            <w:tcW w:w="970" w:type="dxa"/>
          </w:tcPr>
          <w:p w:rsidR="00616A85" w:rsidRPr="006215A1" w:rsidRDefault="00616A85" w:rsidP="006E26EE">
            <w:pPr>
              <w:spacing w:line="480" w:lineRule="auto"/>
              <w:ind w:right="-194"/>
              <w:contextualSpacing/>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 xml:space="preserve">    12</w:t>
            </w:r>
          </w:p>
        </w:tc>
        <w:tc>
          <w:tcPr>
            <w:tcW w:w="2296" w:type="dxa"/>
          </w:tcPr>
          <w:p w:rsidR="00616A85" w:rsidRPr="006215A1" w:rsidRDefault="00616A85" w:rsidP="006E26EE">
            <w:pPr>
              <w:spacing w:line="480" w:lineRule="auto"/>
              <w:ind w:right="-194"/>
              <w:contextualSpacing/>
              <w:jc w:val="both"/>
              <w:rPr>
                <w:rFonts w:ascii="Times New Roman" w:eastAsia="Calibri" w:hAnsi="Times New Roman" w:cs="Times New Roman"/>
                <w:b/>
                <w:bCs/>
                <w:color w:val="000000"/>
              </w:rPr>
            </w:pPr>
            <w:r w:rsidRPr="006215A1">
              <w:rPr>
                <w:rFonts w:ascii="Times New Roman" w:eastAsia="Calibri" w:hAnsi="Times New Roman" w:cs="Times New Roman"/>
                <w:b/>
                <w:bCs/>
                <w:color w:val="000000"/>
              </w:rPr>
              <w:t xml:space="preserve">            </w:t>
            </w:r>
          </w:p>
        </w:tc>
      </w:tr>
    </w:tbl>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616A85" w:rsidRDefault="00616A85" w:rsidP="00616A85">
      <w:pPr>
        <w:spacing w:line="480" w:lineRule="auto"/>
        <w:rPr>
          <w:rFonts w:ascii="Times New Roman" w:eastAsia="Calibri" w:hAnsi="Times New Roman" w:cs="Times New Roman"/>
          <w:b/>
          <w:sz w:val="24"/>
          <w:szCs w:val="24"/>
        </w:rPr>
      </w:pPr>
    </w:p>
    <w:p w:rsidR="009A0103" w:rsidRDefault="009A0103">
      <w:bookmarkStart w:id="0" w:name="_GoBack"/>
      <w:bookmarkEnd w:id="0"/>
    </w:p>
    <w:sectPr w:rsidR="009A0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06E59"/>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7E506D"/>
    <w:multiLevelType w:val="hybridMultilevel"/>
    <w:tmpl w:val="A57ACF26"/>
    <w:lvl w:ilvl="0" w:tplc="65FA88B2">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5"/>
    <w:rsid w:val="00616A85"/>
    <w:rsid w:val="009A0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F366-AD54-4B8C-B3A4-785BC8E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A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16A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1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chennakelvinomej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1</cp:revision>
  <dcterms:created xsi:type="dcterms:W3CDTF">2020-10-31T22:51:00Z</dcterms:created>
  <dcterms:modified xsi:type="dcterms:W3CDTF">2020-10-31T22:52:00Z</dcterms:modified>
</cp:coreProperties>
</file>